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F3540" w14:textId="2125490A" w:rsidR="00767752" w:rsidRPr="00435EF0" w:rsidRDefault="0096215A" w:rsidP="00767752">
      <w:pPr>
        <w:shd w:val="clear" w:color="auto" w:fill="FFFFFF"/>
        <w:spacing w:before="264"/>
        <w:ind w:left="426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                                                                                      </w:t>
      </w:r>
    </w:p>
    <w:p w14:paraId="09DD0503" w14:textId="77777777" w:rsidR="0096215A" w:rsidRPr="00C03EC0" w:rsidRDefault="0096215A" w:rsidP="0096215A">
      <w:pPr>
        <w:rPr>
          <w:rFonts w:ascii="Times New Roman" w:hAnsi="Times New Roman" w:cs="Times New Roman"/>
          <w:b/>
          <w:bCs/>
          <w:smallCaps/>
          <w:color w:val="000000"/>
          <w:spacing w:val="-10"/>
          <w:sz w:val="28"/>
          <w:szCs w:val="28"/>
          <w:lang w:val="cs-CZ"/>
        </w:rPr>
        <w:sectPr w:rsidR="0096215A" w:rsidRPr="00C03EC0" w:rsidSect="00F85D08">
          <w:headerReference w:type="default" r:id="rId8"/>
          <w:type w:val="continuous"/>
          <w:pgSz w:w="11904" w:h="16838"/>
          <w:pgMar w:top="734" w:right="847" w:bottom="259" w:left="1133" w:header="708" w:footer="708" w:gutter="0"/>
          <w:cols w:space="60"/>
          <w:noEndnote/>
        </w:sectPr>
      </w:pPr>
      <w:r w:rsidRPr="00C03EC0">
        <w:rPr>
          <w:b/>
          <w:bCs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F15EB46" wp14:editId="06EFDC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2BA37" id="_x0000_t202" coordsize="21600,21600" o:spt="202" path="m,l,21600r21600,l21600,xe">
                <v:stroke joinstyle="miter"/>
                <v:path gradientshapeok="t" o:connecttype="rect"/>
              </v:shapetype>
              <v:shape id="DeepLBoxSPIDType" o:spid="_x0000_s1026" type="#_x0000_t202" style="position:absolute;margin-left:0;margin-top:0;width:50pt;height:50pt;z-index:2516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C03EC0">
        <w:rPr>
          <w:rFonts w:ascii="Times New Roman" w:hAnsi="Times New Roman" w:cs="Times New Roman"/>
          <w:b/>
          <w:bCs/>
          <w:smallCaps/>
          <w:color w:val="000000"/>
          <w:spacing w:val="-10"/>
          <w:sz w:val="28"/>
          <w:szCs w:val="28"/>
          <w:lang w:val="cs-CZ"/>
        </w:rPr>
        <w:t>Všeobecné prodejní a dodací podmínky</w:t>
      </w:r>
    </w:p>
    <w:p w14:paraId="401A9937" w14:textId="77777777" w:rsidR="00767752" w:rsidRPr="00D130C5" w:rsidRDefault="00767752" w:rsidP="00767752">
      <w:pPr>
        <w:shd w:val="clear" w:color="auto" w:fill="FFFFFF"/>
        <w:spacing w:before="264"/>
        <w:ind w:left="426"/>
        <w:rPr>
          <w:rFonts w:ascii="Times New Roman" w:hAnsi="Times New Roman" w:cs="Times New Roman"/>
          <w:sz w:val="22"/>
          <w:szCs w:val="22"/>
          <w:lang w:val="cs-CZ"/>
        </w:rPr>
      </w:pPr>
    </w:p>
    <w:p w14:paraId="577498F6" w14:textId="54574542" w:rsidR="000A6E5B" w:rsidRPr="00D130C5" w:rsidRDefault="00D5681B" w:rsidP="006A321E">
      <w:pPr>
        <w:numPr>
          <w:ilvl w:val="0"/>
          <w:numId w:val="14"/>
        </w:numPr>
        <w:shd w:val="clear" w:color="auto" w:fill="FFFFFF"/>
        <w:spacing w:before="120" w:after="60"/>
        <w:ind w:left="425" w:hanging="425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Působnost</w:t>
      </w:r>
      <w:r w:rsidR="00FC3873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 xml:space="preserve"> </w:t>
      </w:r>
    </w:p>
    <w:p w14:paraId="2F1D083C" w14:textId="5FD6C1BF" w:rsidR="00B60E5B" w:rsidRPr="00B60E5B" w:rsidRDefault="00B60E5B" w:rsidP="006A321E">
      <w:pPr>
        <w:numPr>
          <w:ilvl w:val="0"/>
          <w:numId w:val="1"/>
        </w:numPr>
        <w:shd w:val="clear" w:color="auto" w:fill="FFFFFF"/>
        <w:ind w:left="425" w:right="91" w:hanging="42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Tyto V</w:t>
      </w:r>
      <w:r w:rsidR="003F59D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šeobecné </w:t>
      </w:r>
      <w:r w:rsidR="0067121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prodejní a dodací </w:t>
      </w:r>
      <w:r w:rsidR="003F59D8">
        <w:rPr>
          <w:rFonts w:ascii="Times New Roman" w:hAnsi="Times New Roman" w:cs="Times New Roman"/>
          <w:color w:val="000000"/>
          <w:sz w:val="22"/>
          <w:szCs w:val="22"/>
          <w:lang w:val="cs-CZ"/>
        </w:rPr>
        <w:t>podmínky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(dále jen „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O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“) 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jsou obchodními podmínkami ve smyslu </w:t>
      </w:r>
      <w:proofErr w:type="spellStart"/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>ust</w:t>
      </w:r>
      <w:proofErr w:type="spellEnd"/>
      <w:r w:rsidR="00802112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§ 1751 zákona č. 89/2012 Sb., občanský zákoník (dále jen „OZ“) a použijí se </w:t>
      </w:r>
      <w:r w:rsidR="00892AB0" w:rsidRPr="00892AB0">
        <w:rPr>
          <w:rFonts w:ascii="Times New Roman" w:hAnsi="Times New Roman" w:cs="Times New Roman"/>
          <w:color w:val="000000"/>
          <w:sz w:val="22"/>
          <w:szCs w:val="22"/>
          <w:lang w:val="cs-CZ"/>
        </w:rPr>
        <w:t>na jim podléhající právní vztahy od 01. 02. 2023</w:t>
      </w:r>
      <w:r w:rsidR="00892AB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na všechny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vztahy z kupních smluv a dodávek zboží </w:t>
      </w:r>
      <w:r w:rsidR="00496784">
        <w:rPr>
          <w:rFonts w:ascii="Times New Roman" w:hAnsi="Times New Roman" w:cs="Times New Roman"/>
          <w:color w:val="000000"/>
          <w:sz w:val="22"/>
          <w:szCs w:val="22"/>
          <w:lang w:val="cs-CZ"/>
        </w:rPr>
        <w:t>a v souvislosti s nimi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mezi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s.r.o., se sídlem Na Cikánce 614/2, 153 00 Praha 5, IČ 629 54 610,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sp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. zn. 40230 u MS Praha (dále jen „HET-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“) jako </w:t>
      </w:r>
      <w:r w:rsidR="000914E8">
        <w:rPr>
          <w:rFonts w:ascii="Times New Roman" w:hAnsi="Times New Roman" w:cs="Times New Roman"/>
          <w:color w:val="000000"/>
          <w:sz w:val="22"/>
          <w:szCs w:val="22"/>
          <w:lang w:val="cs-CZ"/>
        </w:rPr>
        <w:t>prodávajícím,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D5681B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resp. dodavatelem na jedné straně a </w:t>
      </w:r>
      <w:r w:rsidR="005C77EA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zákazníky jako kupujícími </w:t>
      </w:r>
      <w:r w:rsidR="00B0111A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resp. odběrateli </w:t>
      </w:r>
      <w:r w:rsidR="005C77EA">
        <w:rPr>
          <w:rFonts w:ascii="Times New Roman" w:hAnsi="Times New Roman" w:cs="Times New Roman"/>
          <w:color w:val="000000"/>
          <w:sz w:val="22"/>
          <w:szCs w:val="22"/>
          <w:lang w:val="cs-CZ"/>
        </w:rPr>
        <w:t>na straně druhé, kteří jsou podnikateli ve s</w:t>
      </w:r>
      <w:r w:rsidR="00D85CE5">
        <w:rPr>
          <w:rFonts w:ascii="Times New Roman" w:hAnsi="Times New Roman" w:cs="Times New Roman"/>
          <w:color w:val="000000"/>
          <w:sz w:val="22"/>
          <w:szCs w:val="22"/>
          <w:lang w:val="cs-CZ"/>
        </w:rPr>
        <w:t>myslu ustanovení § </w:t>
      </w:r>
      <w:r w:rsidR="005C77EA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420 </w:t>
      </w:r>
      <w:r w:rsid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>OZ</w:t>
      </w:r>
      <w:r w:rsidR="0025022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(dále jen „kupující“)</w:t>
      </w:r>
      <w:r w:rsidR="005C77EA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07D1AABC" w14:textId="35076B08" w:rsidR="000A6E5B" w:rsidRPr="00F12B49" w:rsidRDefault="00D85CE5">
      <w:pPr>
        <w:numPr>
          <w:ilvl w:val="0"/>
          <w:numId w:val="1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Tyto </w:t>
      </w:r>
      <w:r w:rsid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VOP </w:t>
      </w:r>
      <w:r w:rsidR="00F0610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jsou </w:t>
      </w:r>
      <w:r w:rsidR="0043035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výlučně </w:t>
      </w:r>
      <w:r w:rsidR="00F06104">
        <w:rPr>
          <w:rFonts w:ascii="Times New Roman" w:hAnsi="Times New Roman" w:cs="Times New Roman"/>
          <w:color w:val="000000"/>
          <w:sz w:val="22"/>
          <w:szCs w:val="22"/>
          <w:lang w:val="cs-CZ"/>
        </w:rPr>
        <w:t>platné pro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všechny </w:t>
      </w:r>
      <w:r w:rsidR="00F858A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nabídky,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smlouvy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, dodávky</w:t>
      </w:r>
      <w:r w:rsidR="00F858A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F858A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jiná </w:t>
      </w:r>
      <w:r w:rsidR="00D27F4E">
        <w:rPr>
          <w:rFonts w:ascii="Times New Roman" w:hAnsi="Times New Roman" w:cs="Times New Roman"/>
          <w:color w:val="000000"/>
          <w:sz w:val="22"/>
          <w:szCs w:val="22"/>
          <w:lang w:val="cs-CZ"/>
        </w:rPr>
        <w:t>plnění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 účelem uskutečnění </w:t>
      </w:r>
      <w:r w:rsidR="00B0111A">
        <w:rPr>
          <w:rFonts w:ascii="Times New Roman" w:hAnsi="Times New Roman" w:cs="Times New Roman"/>
          <w:color w:val="000000"/>
          <w:sz w:val="22"/>
          <w:szCs w:val="22"/>
          <w:lang w:val="cs-CZ"/>
        </w:rPr>
        <w:t>obchodu, na nějž</w:t>
      </w:r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se vztahují tyto </w:t>
      </w:r>
      <w:r w:rsid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>VOP</w:t>
      </w:r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(čl. 1 písm. a) 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>VOP</w:t>
      </w:r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>)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Odchylky od těchto 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 w:rsidR="005C77EA">
        <w:rPr>
          <w:rFonts w:ascii="Times New Roman" w:hAnsi="Times New Roman" w:cs="Times New Roman"/>
          <w:color w:val="000000"/>
          <w:sz w:val="22"/>
          <w:szCs w:val="22"/>
          <w:lang w:val="cs-CZ"/>
        </w:rPr>
        <w:t>O</w:t>
      </w:r>
      <w:r w:rsidR="007D7B69">
        <w:rPr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které </w:t>
      </w:r>
      <w:r w:rsidR="00792D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mají před těmito </w:t>
      </w:r>
      <w:r w:rsid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VOP </w:t>
      </w:r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>přednost,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jsou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účinné pouze tehdy, pokud </w:t>
      </w:r>
      <w:r w:rsidR="00D27F4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</w:t>
      </w:r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E531F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písemně </w:t>
      </w:r>
      <w:r w:rsidR="00D27F4E">
        <w:rPr>
          <w:rFonts w:ascii="Times New Roman" w:hAnsi="Times New Roman" w:cs="Times New Roman"/>
          <w:color w:val="000000"/>
          <w:sz w:val="22"/>
          <w:szCs w:val="22"/>
          <w:lang w:val="cs-CZ"/>
        </w:rPr>
        <w:t>potvrdí</w:t>
      </w:r>
      <w:r w:rsidR="00F06104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4EDEF35C" w14:textId="1B37D1CC" w:rsidR="000A6E5B" w:rsidRPr="00F12B49" w:rsidRDefault="00430354" w:rsidP="00F12B49">
      <w:pPr>
        <w:numPr>
          <w:ilvl w:val="0"/>
          <w:numId w:val="1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Platnost nákupních </w:t>
      </w:r>
      <w:r w:rsidR="00E531F4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nebo </w:t>
      </w:r>
      <w:r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jiných </w:t>
      </w:r>
      <w:r w:rsidR="00F65BCA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obdobných </w:t>
      </w:r>
      <w:r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obchodních podmínek </w:t>
      </w:r>
      <w:r w:rsidR="00851EF1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kupujícího </w:t>
      </w:r>
      <w:r w:rsidR="0025022F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jako druhé strany </w:t>
      </w:r>
      <w:r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(</w:t>
      </w:r>
      <w:r w:rsidR="00E531F4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dále jen </w:t>
      </w:r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>„</w:t>
      </w:r>
      <w:r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Obchodní podmínky kupujícího“) </w:t>
      </w:r>
      <w:r w:rsidR="00851EF1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se tímto</w:t>
      </w:r>
      <w:r w:rsidR="00792D6C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, nestanoví-li se v následující větě jinak,</w:t>
      </w:r>
      <w:r w:rsidR="00851EF1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vylučuje</w:t>
      </w:r>
      <w:r w:rsidR="00E531F4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a to i </w:t>
      </w:r>
      <w:r w:rsidR="00792D6C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v tom případě, že</w:t>
      </w:r>
      <w:r w:rsidR="0025022F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Obchodní podmínky kupujícího </w:t>
      </w:r>
      <w:r w:rsidR="007D7B69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jsou HET-</w:t>
      </w:r>
      <w:proofErr w:type="spellStart"/>
      <w:r w:rsidR="007D7B69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7D7B69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známy nebo jí předloženy a </w:t>
      </w:r>
      <w:r w:rsidR="00792D6C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792D6C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792D6C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7D7B69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 w:rsidR="00792D6C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výslovně neodmítne. </w:t>
      </w:r>
      <w:r w:rsidR="00B55C14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Odkáže-li dru</w:t>
      </w:r>
      <w:r w:rsidR="00F65BCA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há strana na Obchodní podmínky k</w:t>
      </w:r>
      <w:r w:rsidR="00B55C14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upujícího, je smlouva přesto uzavřena s obsahem určeným v tom rozsahu, v jakém nejsou Obchodní podmínky kupujícího a tyto </w:t>
      </w:r>
      <w:r w:rsidR="007D7B69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VOP </w:t>
      </w:r>
      <w:r w:rsidR="00B0111A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 w:rsidR="00762804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B0111A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rozporu</w:t>
      </w:r>
      <w:r w:rsidR="00762804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(§ 1751 odst. 2 věta první OZ)</w:t>
      </w:r>
      <w:r w:rsidR="00B0111A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2C1D70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VOP, jakož i jejich veškeré změny, jsou uveřejněny na webových stránkách HET-</w:t>
      </w:r>
      <w:proofErr w:type="spellStart"/>
      <w:r w:rsidR="002C1D70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7518B2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</w:t>
      </w:r>
      <w:hyperlink r:id="rId9" w:history="1">
        <w:r w:rsidR="007518B2" w:rsidRPr="00F12B49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http://www.pragoelast.cz/obchodni-podminky</w:t>
        </w:r>
      </w:hyperlink>
      <w:r w:rsidR="007518B2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)</w:t>
      </w:r>
      <w:r w:rsidR="00814E2D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 w:rsidR="002C1D70" w:rsidRP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</w:p>
    <w:p w14:paraId="5A2AE936" w14:textId="0DFA6A06" w:rsidR="008F2700" w:rsidRDefault="008F2700" w:rsidP="003C2F88">
      <w:pPr>
        <w:shd w:val="clear" w:color="auto" w:fill="FFFFFF"/>
        <w:tabs>
          <w:tab w:val="left" w:pos="426"/>
        </w:tabs>
        <w:spacing w:before="240"/>
        <w:ind w:right="91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cs-CZ"/>
        </w:rPr>
      </w:pPr>
      <w:r w:rsidRPr="008F2700">
        <w:rPr>
          <w:rFonts w:ascii="Times New Roman" w:hAnsi="Times New Roman" w:cs="Times New Roman"/>
          <w:b/>
          <w:color w:val="000000"/>
          <w:sz w:val="22"/>
          <w:szCs w:val="22"/>
          <w:lang w:val="cs-CZ"/>
        </w:rPr>
        <w:t>2.</w:t>
      </w:r>
      <w:r w:rsidRPr="008F2700">
        <w:rPr>
          <w:rFonts w:ascii="Times New Roman" w:hAnsi="Times New Roman" w:cs="Times New Roman"/>
          <w:b/>
          <w:color w:val="000000"/>
          <w:sz w:val="22"/>
          <w:szCs w:val="22"/>
          <w:lang w:val="cs-CZ"/>
        </w:rPr>
        <w:tab/>
      </w:r>
      <w:r>
        <w:rPr>
          <w:rFonts w:ascii="Times New Roman" w:hAnsi="Times New Roman" w:cs="Times New Roman"/>
          <w:b/>
          <w:color w:val="000000"/>
          <w:sz w:val="22"/>
          <w:szCs w:val="22"/>
          <w:lang w:val="cs-CZ"/>
        </w:rPr>
        <w:t>Objednání zboží</w:t>
      </w:r>
      <w:r w:rsidR="00820210">
        <w:rPr>
          <w:rFonts w:ascii="Times New Roman" w:hAnsi="Times New Roman" w:cs="Times New Roman"/>
          <w:b/>
          <w:color w:val="000000"/>
          <w:sz w:val="22"/>
          <w:szCs w:val="22"/>
          <w:lang w:val="cs-CZ"/>
        </w:rPr>
        <w:t>, uzavření smlouvy</w:t>
      </w:r>
    </w:p>
    <w:p w14:paraId="24F5D01D" w14:textId="77777777" w:rsidR="00092974" w:rsidRDefault="008F2700" w:rsidP="00D0432C">
      <w:pPr>
        <w:shd w:val="clear" w:color="auto" w:fill="FFFFFF"/>
        <w:tabs>
          <w:tab w:val="left" w:pos="426"/>
        </w:tabs>
        <w:spacing w:before="67"/>
        <w:ind w:left="420" w:right="91" w:hanging="420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a)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ab/>
        <w:t>Objednání zboží se uskutečňuje písemně poštou, faxem, e-mailem</w:t>
      </w:r>
      <w:r w:rsidR="006A321E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5AC2149C" w14:textId="43EFA67C" w:rsidR="00820210" w:rsidRDefault="008F2700" w:rsidP="00D0432C">
      <w:pPr>
        <w:shd w:val="clear" w:color="auto" w:fill="FFFFFF"/>
        <w:tabs>
          <w:tab w:val="left" w:pos="426"/>
        </w:tabs>
        <w:spacing w:before="67"/>
        <w:ind w:left="420" w:right="91" w:hanging="420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b)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ab/>
        <w:t xml:space="preserve">Objednávka 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musí obsahovat</w:t>
      </w:r>
      <w:r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alespoň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: obchodní firmu (resp. název) a sídlo kupujícího včetně telefonického </w:t>
      </w:r>
      <w:r w:rsidR="00D0432C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a e-mailového spojení, údaje IČ, DIČ </w:t>
      </w:r>
      <w:r w:rsidR="00D0432C"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(je-li registrován jako plátce DPH)</w:t>
      </w:r>
      <w:r w:rsidR="00D0432C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, jméno a příjmení 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osob</w:t>
      </w:r>
      <w:r w:rsidR="00D0432C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y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, oprávněn</w:t>
      </w:r>
      <w:r w:rsidR="00D0432C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é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</w:t>
      </w:r>
      <w:r w:rsidR="00D0432C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ve věci objednávky jednat za kupujícího, 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jednoznačné určení předmětu plnění </w:t>
      </w:r>
      <w:r w:rsidR="00D0432C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– objednaného zboží 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a jeho množství, způsob odběru 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v závodě HET-</w:t>
      </w:r>
      <w:proofErr w:type="spellStart"/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Pragoelast</w:t>
      </w:r>
      <w:proofErr w:type="spellEnd"/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(např. vlastní odběr, </w:t>
      </w:r>
      <w:r w:rsidR="0043123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odeslání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), osobu 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oprávněnou k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převzetí předmětu plnění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. </w:t>
      </w:r>
      <w:r w:rsidR="00814E2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Neobsahuje-li objednávka v předchozí větě uvedené údaje, je HET-</w:t>
      </w:r>
      <w:proofErr w:type="spellStart"/>
      <w:r w:rsidR="00814E2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Pragoelast</w:t>
      </w:r>
      <w:proofErr w:type="spellEnd"/>
      <w:r w:rsidR="00814E2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oprávněna vyz</w:t>
      </w:r>
      <w:r w:rsidR="00F12B49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v</w:t>
      </w:r>
      <w:r w:rsidR="00814E2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at k jejímu doplnění. Nebude-li objednávka doplněna nejpozději do 7 (sedmi) dnů, nepřihlíží se k ní. 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Objednávka může obsahovat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případné další specifické požadavky na předmět plnění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,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požadavek na potvrzení objednávky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.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V případě, že některý z požadavků uvedených na objednávce kupujícího nemůže 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HET-</w:t>
      </w:r>
      <w:proofErr w:type="spellStart"/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Pragoelast</w:t>
      </w:r>
      <w:proofErr w:type="spellEnd"/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 xml:space="preserve"> </w:t>
      </w:r>
      <w:r w:rsidRPr="008F2700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splnit, kontaktuje kupujícího k upřesnění či opravě údajů na objednávce</w:t>
      </w:r>
      <w:r w:rsidR="00917E8D"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.</w:t>
      </w:r>
    </w:p>
    <w:p w14:paraId="5EA3CB6A" w14:textId="52EDBA62" w:rsidR="00014BE9" w:rsidRDefault="00820210" w:rsidP="00D0432C">
      <w:pPr>
        <w:shd w:val="clear" w:color="auto" w:fill="FFFFFF"/>
        <w:tabs>
          <w:tab w:val="left" w:pos="426"/>
        </w:tabs>
        <w:spacing w:before="67"/>
        <w:ind w:left="420" w:right="91" w:hanging="420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c)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ab/>
        <w:t>Smlouva je uzavřen</w:t>
      </w:r>
      <w:r w:rsid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>a, jakmile HET-</w:t>
      </w:r>
      <w:proofErr w:type="spellStart"/>
      <w:r w:rsid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písemně potvrdí přijetí objednávky, a to kdykoli během 7 (sedmi) dnů po jejím </w:t>
      </w:r>
      <w:r w:rsidR="008B00C6">
        <w:rPr>
          <w:rFonts w:ascii="Times New Roman" w:hAnsi="Times New Roman" w:cs="Times New Roman"/>
          <w:color w:val="000000"/>
          <w:sz w:val="22"/>
          <w:szCs w:val="22"/>
          <w:lang w:val="cs-CZ"/>
        </w:rPr>
        <w:t>dojití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>, přičemž potvrzení se změnami</w:t>
      </w:r>
      <w:r w:rsidR="00C904BA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včetně odchylné úpravy obsažené ve </w:t>
      </w:r>
      <w:r w:rsidR="00C904BA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VOP, 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se má za nový návrh, který je </w:t>
      </w:r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– v případě, že má zájem na uzavření smlouvy – povinen akceptovat ve lhůtě 7 (sedmi) dnů ode dne, kdy mu byl takový projev vůle </w:t>
      </w:r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doručen. Závaznost návrhu na uzavření smlouvy učiněného ze strany </w:t>
      </w:r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kupujícímu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zaniká uplynutím 7 (sedmi) dnů od doručení návrhu </w:t>
      </w:r>
      <w:r w:rsidR="00F34F46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kupujícímu</w:t>
      </w:r>
      <w:r w:rsidR="00814E2D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 w:rsidR="009A1E4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Smlouva je uzavřena dále i informací HET-</w:t>
      </w:r>
      <w:proofErr w:type="spellStart"/>
      <w:r w:rsidR="009A1E4D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9A1E4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kupujícímu o </w:t>
      </w:r>
      <w:r w:rsidR="00C1309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možném termínu </w:t>
      </w:r>
      <w:r w:rsidR="009A1E4D">
        <w:rPr>
          <w:rFonts w:ascii="Times New Roman" w:hAnsi="Times New Roman" w:cs="Times New Roman"/>
          <w:color w:val="000000"/>
          <w:sz w:val="22"/>
          <w:szCs w:val="22"/>
          <w:lang w:val="cs-CZ"/>
        </w:rPr>
        <w:t>vyskladnění zboží dle objednávky pro kupujícího v </w:t>
      </w:r>
      <w:r w:rsidR="00187EF6">
        <w:rPr>
          <w:rFonts w:ascii="Times New Roman" w:hAnsi="Times New Roman" w:cs="Times New Roman"/>
          <w:color w:val="000000"/>
          <w:sz w:val="22"/>
          <w:szCs w:val="22"/>
          <w:lang w:val="cs-CZ"/>
        </w:rPr>
        <w:t>závodě</w:t>
      </w:r>
      <w:r w:rsidR="009A1E4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9A1E4D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187EF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ve lhůtě </w:t>
      </w:r>
      <w:r w:rsidR="00187EF6" w:rsidRPr="00814E2D">
        <w:rPr>
          <w:rFonts w:ascii="Times New Roman" w:hAnsi="Times New Roman" w:cs="Times New Roman"/>
          <w:color w:val="000000"/>
          <w:sz w:val="22"/>
          <w:szCs w:val="22"/>
          <w:lang w:val="cs-CZ"/>
        </w:rPr>
        <w:t>7 (sedmi) dnů od</w:t>
      </w:r>
      <w:r w:rsidR="00187EF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doručení objednávky kupujícího</w:t>
      </w:r>
      <w:r w:rsidR="009A1E4D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2B14C412" w14:textId="77777777" w:rsidR="000A6E5B" w:rsidRPr="00D130C5" w:rsidRDefault="0026786F" w:rsidP="003C2F88">
      <w:pPr>
        <w:numPr>
          <w:ilvl w:val="0"/>
          <w:numId w:val="27"/>
        </w:numPr>
        <w:shd w:val="clear" w:color="auto" w:fill="FFFFFF"/>
        <w:spacing w:before="240"/>
        <w:ind w:left="425" w:hanging="425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Ceny, změny cen</w:t>
      </w:r>
    </w:p>
    <w:p w14:paraId="56B2BD3B" w14:textId="5BD2B11F" w:rsidR="000A6E5B" w:rsidRPr="00D130C5" w:rsidRDefault="002300DD">
      <w:pPr>
        <w:numPr>
          <w:ilvl w:val="0"/>
          <w:numId w:val="16"/>
        </w:numPr>
        <w:shd w:val="clear" w:color="auto" w:fill="FFFFFF"/>
        <w:spacing w:before="67"/>
        <w:ind w:left="426" w:right="91" w:hanging="42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Kupní cena (dále jen „Cena“) je stanovena dle platného nabídkového </w:t>
      </w:r>
      <w:r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>ceníku HET-</w:t>
      </w:r>
      <w:proofErr w:type="spellStart"/>
      <w:r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 den objednání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zboží kupujícím.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Ceny </w:t>
      </w:r>
      <w:r w:rsidR="00853926">
        <w:rPr>
          <w:rFonts w:ascii="Times New Roman" w:hAnsi="Times New Roman" w:cs="Times New Roman"/>
          <w:color w:val="000000"/>
          <w:sz w:val="22"/>
          <w:szCs w:val="22"/>
          <w:lang w:val="cs-CZ"/>
        </w:rPr>
        <w:t>se rozumí</w:t>
      </w:r>
      <w:r w:rsidR="0020443B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„</w:t>
      </w:r>
      <w:r w:rsidR="00853926">
        <w:rPr>
          <w:rFonts w:ascii="Times New Roman" w:hAnsi="Times New Roman" w:cs="Times New Roman"/>
          <w:color w:val="000000"/>
          <w:sz w:val="22"/>
          <w:szCs w:val="22"/>
          <w:lang w:val="cs-CZ"/>
        </w:rPr>
        <w:t>ze závodu</w:t>
      </w:r>
      <w:r w:rsidR="0020443B">
        <w:rPr>
          <w:rFonts w:ascii="Times New Roman" w:hAnsi="Times New Roman" w:cs="Times New Roman"/>
          <w:color w:val="000000"/>
          <w:sz w:val="22"/>
          <w:szCs w:val="22"/>
          <w:lang w:val="cs-CZ"/>
        </w:rPr>
        <w:t>“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tak, jak je tento význam v obchodní</w:t>
      </w:r>
      <w:r w:rsidR="00F12B49">
        <w:rPr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styku ustálen</w:t>
      </w:r>
      <w:r w:rsidR="0085392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(EXW – Ex Works)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 w:rsidR="0085392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bez </w:t>
      </w:r>
      <w:r w:rsidR="00E80E37">
        <w:rPr>
          <w:rFonts w:ascii="Times New Roman" w:hAnsi="Times New Roman" w:cs="Times New Roman"/>
          <w:color w:val="000000"/>
          <w:sz w:val="22"/>
          <w:szCs w:val="22"/>
          <w:lang w:val="cs-CZ"/>
        </w:rPr>
        <w:t>daně z přidané hodnoty (</w:t>
      </w:r>
      <w:r w:rsidR="00853926">
        <w:rPr>
          <w:rFonts w:ascii="Times New Roman" w:hAnsi="Times New Roman" w:cs="Times New Roman"/>
          <w:color w:val="000000"/>
          <w:sz w:val="22"/>
          <w:szCs w:val="22"/>
          <w:lang w:val="cs-CZ"/>
        </w:rPr>
        <w:t>DPH</w:t>
      </w:r>
      <w:r w:rsidR="00E80E37">
        <w:rPr>
          <w:rFonts w:ascii="Times New Roman" w:hAnsi="Times New Roman" w:cs="Times New Roman"/>
          <w:color w:val="000000"/>
          <w:sz w:val="22"/>
          <w:szCs w:val="22"/>
          <w:lang w:val="cs-CZ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 </w:t>
      </w:r>
      <w:r w:rsidR="00E80E3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bez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zahrnutí jakýchkoliv nákladů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85392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není-li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výslovně </w:t>
      </w:r>
      <w:r w:rsidR="00F65BCA">
        <w:rPr>
          <w:rFonts w:ascii="Times New Roman" w:hAnsi="Times New Roman" w:cs="Times New Roman"/>
          <w:color w:val="000000"/>
          <w:sz w:val="22"/>
          <w:szCs w:val="22"/>
          <w:lang w:val="cs-CZ"/>
        </w:rPr>
        <w:t>sjednáno</w:t>
      </w:r>
      <w:r w:rsidR="00F65BCA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jinak. </w:t>
      </w:r>
      <w:r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Ceny nejsou </w:t>
      </w:r>
      <w:r w:rsidR="00517BBE"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>z</w:t>
      </w:r>
      <w:r w:rsidR="00527119"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>á</w:t>
      </w:r>
      <w:r w:rsidR="00517BBE"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vazné pro dodatečné </w:t>
      </w:r>
      <w:r w:rsidR="00F65BCA"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a/nebo další </w:t>
      </w:r>
      <w:r w:rsidR="00517BBE"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>objednávky</w:t>
      </w:r>
      <w:r w:rsidR="0026786F" w:rsidRPr="00307135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22126058" w14:textId="185E377E" w:rsidR="000A6E5B" w:rsidRPr="00D130C5" w:rsidRDefault="00517BBE">
      <w:pPr>
        <w:numPr>
          <w:ilvl w:val="0"/>
          <w:numId w:val="16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ro výpočet cen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jsou v pochybnostech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rozhodující údaje </w:t>
      </w:r>
      <w:r w:rsidR="00DA642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 množství nebo hmotnosti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zjištěné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 závodu </w:t>
      </w:r>
      <w:r w:rsidR="00A07F94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A07F94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A07F9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při vyskladnění. </w:t>
      </w:r>
    </w:p>
    <w:p w14:paraId="3606D6A1" w14:textId="77777777" w:rsidR="000A6E5B" w:rsidRPr="00D130C5" w:rsidRDefault="0026786F" w:rsidP="00031C8E">
      <w:pPr>
        <w:numPr>
          <w:ilvl w:val="0"/>
          <w:numId w:val="27"/>
        </w:numPr>
        <w:shd w:val="clear" w:color="auto" w:fill="FFFFFF"/>
        <w:spacing w:before="264"/>
        <w:ind w:left="426" w:hanging="426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Dodávka, vyšší moc</w:t>
      </w:r>
    </w:p>
    <w:p w14:paraId="3F649CFB" w14:textId="564D8CB3" w:rsidR="000A6E5B" w:rsidRPr="00D130C5" w:rsidRDefault="0026786F">
      <w:pPr>
        <w:numPr>
          <w:ilvl w:val="0"/>
          <w:numId w:val="17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Dodací lhůty a 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pevné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termíny 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dodání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jsou závazné </w:t>
      </w:r>
      <w:r w:rsidR="00517BB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jen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 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jejich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písemném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potvrzení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065C9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ze strany 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Sjednaná dodací lhůta začíná běžet </w:t>
      </w:r>
      <w:r w:rsidR="00A07F94">
        <w:rPr>
          <w:rFonts w:ascii="Times New Roman" w:hAnsi="Times New Roman" w:cs="Times New Roman"/>
          <w:color w:val="000000"/>
          <w:sz w:val="22"/>
          <w:szCs w:val="22"/>
          <w:lang w:val="cs-CZ"/>
        </w:rPr>
        <w:t>v první p</w:t>
      </w:r>
      <w:r w:rsidR="00092974">
        <w:rPr>
          <w:rFonts w:ascii="Times New Roman" w:hAnsi="Times New Roman" w:cs="Times New Roman"/>
          <w:color w:val="000000"/>
          <w:sz w:val="22"/>
          <w:szCs w:val="22"/>
          <w:lang w:val="cs-CZ"/>
        </w:rPr>
        <w:t>racovní den po uzavření smlouvy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517BBE">
        <w:rPr>
          <w:rFonts w:ascii="Times New Roman" w:hAnsi="Times New Roman" w:cs="Times New Roman"/>
          <w:color w:val="000000"/>
          <w:sz w:val="22"/>
          <w:szCs w:val="22"/>
          <w:lang w:val="cs-CZ"/>
        </w:rPr>
        <w:t>avšak nikoliv dříve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, než</w:t>
      </w:r>
      <w:r w:rsidR="00517BBE">
        <w:rPr>
          <w:rFonts w:ascii="Times New Roman" w:hAnsi="Times New Roman" w:cs="Times New Roman"/>
          <w:color w:val="000000"/>
          <w:sz w:val="22"/>
          <w:szCs w:val="22"/>
          <w:lang w:val="cs-CZ"/>
        </w:rPr>
        <w:t>li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="00B266F4">
        <w:rPr>
          <w:rFonts w:ascii="Times New Roman" w:hAnsi="Times New Roman" w:cs="Times New Roman"/>
          <w:color w:val="000000"/>
          <w:sz w:val="22"/>
          <w:szCs w:val="22"/>
          <w:lang w:val="cs-CZ"/>
        </w:rPr>
        <w:t>poskytne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součinnost, </w:t>
      </w:r>
      <w:r w:rsidR="00B266F4">
        <w:rPr>
          <w:rFonts w:ascii="Times New Roman" w:hAnsi="Times New Roman" w:cs="Times New Roman"/>
          <w:color w:val="000000"/>
          <w:sz w:val="22"/>
          <w:szCs w:val="22"/>
          <w:lang w:val="cs-CZ"/>
        </w:rPr>
        <w:t>k níž je povinen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proofErr w:type="gramStart"/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zejména</w:t>
      </w:r>
      <w:proofErr w:type="gramEnd"/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než uhradí </w:t>
      </w:r>
      <w:r w:rsidR="00517BB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případně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dohodnutou zálohu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a/nebo </w:t>
      </w:r>
      <w:r w:rsidR="00D84830">
        <w:rPr>
          <w:rFonts w:ascii="Times New Roman" w:hAnsi="Times New Roman" w:cs="Times New Roman"/>
          <w:color w:val="000000"/>
          <w:sz w:val="22"/>
          <w:szCs w:val="22"/>
          <w:lang w:val="cs-CZ"/>
        </w:rPr>
        <w:lastRenderedPageBreak/>
        <w:t xml:space="preserve">poskytne informace potřebné pro </w:t>
      </w:r>
      <w:r w:rsidR="00A07F9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splnění smlouvy. </w:t>
      </w:r>
    </w:p>
    <w:p w14:paraId="11E70F65" w14:textId="07A9351A" w:rsidR="000A6E5B" w:rsidRPr="00CA2DDA" w:rsidRDefault="00D245CC">
      <w:pPr>
        <w:numPr>
          <w:ilvl w:val="0"/>
          <w:numId w:val="17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Dodržení d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odací lhůty a</w:t>
      </w:r>
      <w:r w:rsidR="003575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pevného 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>termín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u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dodání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se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posoudí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k</w:t>
      </w:r>
      <w:r w:rsidR="00E54878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okamžiku</w:t>
      </w:r>
      <w:r w:rsidR="00E5487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vyskladnění zboží </w:t>
      </w:r>
      <w:r w:rsidR="00521B4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pro kupujícího </w:t>
      </w:r>
      <w:r w:rsidR="00B92606">
        <w:rPr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 w:rsidR="00CA39C9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B92606">
        <w:rPr>
          <w:rFonts w:ascii="Times New Roman" w:hAnsi="Times New Roman" w:cs="Times New Roman"/>
          <w:color w:val="000000"/>
          <w:sz w:val="22"/>
          <w:szCs w:val="22"/>
          <w:lang w:val="cs-CZ"/>
        </w:rPr>
        <w:t>závodě</w:t>
      </w:r>
      <w:r w:rsidR="00CA39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CA39C9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B92606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CA39C9">
        <w:rPr>
          <w:rFonts w:ascii="Times New Roman" w:hAnsi="Times New Roman" w:cs="Times New Roman"/>
          <w:color w:val="000000"/>
          <w:sz w:val="22"/>
          <w:szCs w:val="22"/>
          <w:lang w:val="cs-CZ"/>
        </w:rPr>
        <w:t>Dodací lhůty a pevné termíny dodání p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latí za dodržené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okamžikem oznámení o připravenosti k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odeslání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zboží 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>i tehdy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>nemůže-li</w:t>
      </w:r>
      <w:r w:rsidR="00AA4382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být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zboží odesláno včas bez zavinění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Dodací lhůty se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prodlužují,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aniž jsou dotčena </w:t>
      </w:r>
      <w:r w:rsidR="00CA39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jiná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práva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 prodlení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kupujícího, o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dobu, </w:t>
      </w:r>
      <w:r w:rsidR="00525481">
        <w:rPr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 kterou je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="003575E2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vůči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prodlení s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plněním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svých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povinností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ro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pevné </w:t>
      </w:r>
      <w:r w:rsidR="00AA4382">
        <w:rPr>
          <w:rFonts w:ascii="Times New Roman" w:hAnsi="Times New Roman" w:cs="Times New Roman"/>
          <w:color w:val="000000"/>
          <w:sz w:val="22"/>
          <w:szCs w:val="22"/>
          <w:lang w:val="cs-CZ"/>
        </w:rPr>
        <w:t>termíny dodání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platí předchozí věta obdobně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 w:rsidR="00FA4BB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dobu svého prodlení, o n</w:t>
      </w:r>
      <w:r w:rsidR="00F63592">
        <w:rPr>
          <w:rFonts w:ascii="Times New Roman" w:hAnsi="Times New Roman" w:cs="Times New Roman"/>
          <w:color w:val="000000"/>
          <w:sz w:val="22"/>
          <w:szCs w:val="22"/>
          <w:lang w:val="cs-CZ"/>
        </w:rPr>
        <w:t>íž se p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r</w:t>
      </w:r>
      <w:r w:rsidR="00F63592">
        <w:rPr>
          <w:rFonts w:ascii="Times New Roman" w:hAnsi="Times New Roman" w:cs="Times New Roman"/>
          <w:color w:val="000000"/>
          <w:sz w:val="22"/>
          <w:szCs w:val="22"/>
          <w:lang w:val="cs-CZ"/>
        </w:rPr>
        <w:t>o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dlužuje čas plně</w:t>
      </w:r>
      <w:r w:rsidR="00F63592">
        <w:rPr>
          <w:rFonts w:ascii="Times New Roman" w:hAnsi="Times New Roman" w:cs="Times New Roman"/>
          <w:color w:val="000000"/>
          <w:sz w:val="22"/>
          <w:szCs w:val="22"/>
          <w:lang w:val="cs-CZ"/>
        </w:rPr>
        <w:t>ní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63592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není kupující oprávněn od smlouvy odstoupit. </w:t>
      </w:r>
    </w:p>
    <w:p w14:paraId="51DF1A47" w14:textId="62194086" w:rsidR="00CA2DDA" w:rsidRPr="00CA2DDA" w:rsidRDefault="00CA2DDA" w:rsidP="00CA2DDA">
      <w:pPr>
        <w:numPr>
          <w:ilvl w:val="0"/>
          <w:numId w:val="17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 případě kupních smluv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 možností dodávky </w:t>
      </w:r>
      <w:r w:rsidR="009B1D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na výzvu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musí být výzva k dodání uskutečněna ve sjednané lhůtě. V případě sjednání dílčích dodávek </w:t>
      </w:r>
      <w:r w:rsidR="009B1D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na výzvu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musí být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výzva k dodání učiněna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včas.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Je-li </w:t>
      </w:r>
      <w:r w:rsidR="009B1D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výzva k dodání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opakovaně </w:t>
      </w:r>
      <w:r w:rsidR="009B1D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opožděna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nebo </w:t>
      </w:r>
      <w:r w:rsidR="009B1D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učiněna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ve vztahu k</w:t>
      </w:r>
      <w:r w:rsidR="009B1DC9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nep</w:t>
      </w:r>
      <w:r w:rsidR="009B1DC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oměrně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velkému dílčímu množství,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je </w:t>
      </w:r>
      <w:r w:rsidR="00FA4BB5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FA4BB5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A4BB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FA4BB5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oprávněn</w:t>
      </w:r>
      <w:r w:rsidR="00FA4BB5"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FA4BB5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odstoupit od smlouvy a požadovat náhradu škody.</w:t>
      </w:r>
    </w:p>
    <w:p w14:paraId="684650BC" w14:textId="60AF6BB7" w:rsidR="000A6E5B" w:rsidRPr="000B3A05" w:rsidRDefault="00521B42">
      <w:pPr>
        <w:numPr>
          <w:ilvl w:val="0"/>
          <w:numId w:val="17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pacing w:val="-3"/>
          <w:sz w:val="22"/>
          <w:szCs w:val="22"/>
          <w:lang w:val="cs-CZ"/>
        </w:rPr>
      </w:pPr>
      <w:r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Nesdělí-li kupující v případě </w:t>
      </w:r>
      <w:r w:rsidR="00431230" w:rsidRPr="000B3A05">
        <w:rPr>
          <w:rFonts w:ascii="Times New Roman" w:hAnsi="Times New Roman" w:cs="Times New Roman"/>
          <w:sz w:val="22"/>
          <w:szCs w:val="22"/>
          <w:lang w:val="cs-CZ"/>
        </w:rPr>
        <w:t>odeslání</w:t>
      </w:r>
      <w:r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 zboží HET-</w:t>
      </w:r>
      <w:proofErr w:type="spellStart"/>
      <w:r w:rsidRPr="000B3A05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 žádné pokyny</w:t>
      </w:r>
      <w:r w:rsidR="00890E9F"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 (přepravní dispozice</w:t>
      </w:r>
      <w:r w:rsidR="00525481" w:rsidRPr="000B3A05">
        <w:rPr>
          <w:rFonts w:ascii="Times New Roman" w:hAnsi="Times New Roman" w:cs="Times New Roman"/>
          <w:sz w:val="22"/>
          <w:szCs w:val="22"/>
          <w:lang w:val="cs-CZ"/>
        </w:rPr>
        <w:t>)</w:t>
      </w:r>
      <w:r w:rsidR="00431230" w:rsidRPr="000B3A05">
        <w:rPr>
          <w:rFonts w:ascii="Times New Roman" w:hAnsi="Times New Roman" w:cs="Times New Roman"/>
          <w:sz w:val="22"/>
          <w:szCs w:val="22"/>
          <w:lang w:val="cs-CZ"/>
        </w:rPr>
        <w:t>, je HET-</w:t>
      </w:r>
      <w:proofErr w:type="spellStart"/>
      <w:r w:rsidR="00431230" w:rsidRPr="000B3A05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431230"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 oprávněna zvolit </w:t>
      </w:r>
      <w:r w:rsidR="00FA4BB5"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způsob </w:t>
      </w:r>
      <w:r w:rsidR="00525481"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přepravy </w:t>
      </w:r>
      <w:r w:rsidR="00AA4382"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dle </w:t>
      </w:r>
      <w:r w:rsidR="00431230"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svého </w:t>
      </w:r>
      <w:r w:rsidR="00AA4382" w:rsidRPr="000B3A05">
        <w:rPr>
          <w:rFonts w:ascii="Times New Roman" w:hAnsi="Times New Roman" w:cs="Times New Roman"/>
          <w:sz w:val="22"/>
          <w:szCs w:val="22"/>
          <w:lang w:val="cs-CZ"/>
        </w:rPr>
        <w:t xml:space="preserve">nejlepšího uvážení </w:t>
      </w:r>
      <w:r w:rsidR="0026786F" w:rsidRPr="000B3A05">
        <w:rPr>
          <w:rFonts w:ascii="Times New Roman" w:hAnsi="Times New Roman" w:cs="Times New Roman"/>
          <w:sz w:val="22"/>
          <w:szCs w:val="22"/>
          <w:lang w:val="cs-CZ"/>
        </w:rPr>
        <w:t>bez jakékoli odpovědnosti za výběr nejlevnějšího způsobu odeslání</w:t>
      </w:r>
      <w:r w:rsidR="00F86E5E" w:rsidRPr="000B3A05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6C941B3B" w14:textId="0C75403D" w:rsidR="00851EF1" w:rsidRPr="003B37C6" w:rsidRDefault="00851EF1" w:rsidP="003B37C6">
      <w:pPr>
        <w:numPr>
          <w:ilvl w:val="0"/>
          <w:numId w:val="17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Případy vyšší moci </w:t>
      </w:r>
      <w:r w:rsidR="008E00C1">
        <w:rPr>
          <w:rFonts w:ascii="Times New Roman" w:hAnsi="Times New Roman" w:cs="Times New Roman"/>
          <w:color w:val="000000"/>
          <w:sz w:val="22"/>
          <w:szCs w:val="22"/>
          <w:lang w:val="cs-CZ"/>
        </w:rPr>
        <w:t>opravňují</w:t>
      </w:r>
      <w:r w:rsidR="00AF42F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AF42F5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141F07">
        <w:rPr>
          <w:rFonts w:ascii="Times New Roman" w:hAnsi="Times New Roman" w:cs="Times New Roman"/>
          <w:color w:val="000000"/>
          <w:sz w:val="22"/>
          <w:szCs w:val="22"/>
          <w:lang w:val="cs-CZ"/>
        </w:rPr>
        <w:t>–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141F0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rovněž během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prodlení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–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odložit dodání nebo 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jiné </w:t>
      </w:r>
      <w:r w:rsidR="00AF42F5">
        <w:rPr>
          <w:rFonts w:ascii="Times New Roman" w:hAnsi="Times New Roman" w:cs="Times New Roman"/>
          <w:color w:val="000000"/>
          <w:sz w:val="22"/>
          <w:szCs w:val="22"/>
          <w:lang w:val="cs-CZ"/>
        </w:rPr>
        <w:t>plnění o </w:t>
      </w:r>
      <w:r w:rsidR="003575E2">
        <w:rPr>
          <w:rFonts w:ascii="Times New Roman" w:hAnsi="Times New Roman" w:cs="Times New Roman"/>
          <w:color w:val="000000"/>
          <w:sz w:val="22"/>
          <w:szCs w:val="22"/>
          <w:lang w:val="cs-CZ"/>
        </w:rPr>
        <w:t>dobu trvání překážky a 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přiměřenou dobu 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 </w:t>
      </w:r>
      <w:r w:rsidR="00C37C4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její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 w:rsidR="00C37C4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uplynutí.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J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e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-li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dodání nebo 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jiné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plnění nemožné nebo nepřiměřené z důvodu okolnosti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vyšší moci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je HET-</w:t>
      </w:r>
      <w:proofErr w:type="spellStart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>oprávněn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 smlouvy zcela nebo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zčásti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odstoupit.</w:t>
      </w:r>
      <w:r w:rsidR="003575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Právo </w:t>
      </w:r>
      <w:r w:rsidR="003575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na náhradu škody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kupujícího vůči HET-</w:t>
      </w:r>
      <w:proofErr w:type="spellStart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3575E2">
        <w:rPr>
          <w:rFonts w:ascii="Times New Roman" w:hAnsi="Times New Roman" w:cs="Times New Roman"/>
          <w:color w:val="000000"/>
          <w:sz w:val="22"/>
          <w:szCs w:val="22"/>
          <w:lang w:val="cs-CZ"/>
        </w:rPr>
        <w:t>j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e</w:t>
      </w:r>
      <w:r w:rsidR="003575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 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těchto případech vyloučen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o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, ledaže by</w:t>
      </w:r>
      <w:r w:rsidR="00C2630A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>smlouvu uzavřel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ve stavu </w:t>
      </w:r>
      <w:r w:rsidR="00525481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úmyslně či hrubou nedbalostí 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>zaviněné nevědomosti o</w:t>
      </w:r>
      <w:r w:rsidR="00AF42F5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423E87">
        <w:rPr>
          <w:rFonts w:ascii="Times New Roman" w:hAnsi="Times New Roman" w:cs="Times New Roman"/>
          <w:color w:val="000000"/>
          <w:sz w:val="22"/>
          <w:szCs w:val="22"/>
          <w:lang w:val="cs-CZ"/>
        </w:rPr>
        <w:t>bezprostředně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hrozící </w:t>
      </w:r>
      <w:r w:rsidR="00423E87">
        <w:rPr>
          <w:rFonts w:ascii="Times New Roman" w:hAnsi="Times New Roman" w:cs="Times New Roman"/>
          <w:color w:val="000000"/>
          <w:sz w:val="22"/>
          <w:szCs w:val="22"/>
          <w:lang w:val="cs-CZ"/>
        </w:rPr>
        <w:t>okolnosti</w:t>
      </w:r>
      <w:r w:rsidR="00C37C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vyšší moci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 vyšší moc se považují </w:t>
      </w:r>
      <w:r w:rsidR="00423E8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zejména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vypuknutí ozbrojeného</w:t>
      </w:r>
      <w:r w:rsidR="00423E8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a/nebo kybernetického a/nebo obdobně závažného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423E87">
        <w:rPr>
          <w:rFonts w:ascii="Times New Roman" w:hAnsi="Times New Roman" w:cs="Times New Roman"/>
          <w:color w:val="000000"/>
          <w:sz w:val="22"/>
          <w:szCs w:val="22"/>
          <w:lang w:val="cs-CZ"/>
        </w:rPr>
        <w:t>útoku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 místě plnění nebo v místě určení zboží, </w:t>
      </w:r>
      <w:r w:rsid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stávka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zákonné výluky, zákazy vývozu a dovozu, </w:t>
      </w:r>
      <w:r w:rsidR="00BD7A60">
        <w:rPr>
          <w:rFonts w:ascii="Times New Roman" w:hAnsi="Times New Roman" w:cs="Times New Roman"/>
          <w:color w:val="000000"/>
          <w:sz w:val="22"/>
          <w:szCs w:val="22"/>
          <w:lang w:val="cs-CZ"/>
        </w:rPr>
        <w:t>jiná omezení v dů</w:t>
      </w:r>
      <w:r w:rsidR="00423E8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sledku zásahu státní moci,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nedostatek surovin a energií, požár, závažná narušení provozu nebo </w:t>
      </w:r>
      <w:r w:rsidR="007D62DF"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dopravy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 další okolnosti, za které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neodpovídá a které </w:t>
      </w:r>
      <w:r w:rsidR="00F05DF3">
        <w:rPr>
          <w:rFonts w:ascii="Times New Roman" w:hAnsi="Times New Roman" w:cs="Times New Roman"/>
          <w:color w:val="000000"/>
          <w:sz w:val="22"/>
          <w:szCs w:val="22"/>
          <w:lang w:val="cs-CZ"/>
        </w:rPr>
        <w:t>jí</w:t>
      </w:r>
      <w:r w:rsidR="00F05DF3"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nepřiměřeně ztěžují nebo znemožňují dodávku nebo</w:t>
      </w:r>
      <w:r w:rsidR="001C4721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jiné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plnění, a to bez ohledu na to, zda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jimi postižena </w:t>
      </w:r>
      <w:r w:rsidR="00977EC0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977EC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977EC0">
        <w:rPr>
          <w:rFonts w:ascii="Times New Roman" w:hAnsi="Times New Roman" w:cs="Times New Roman"/>
          <w:color w:val="000000"/>
          <w:sz w:val="22"/>
          <w:szCs w:val="22"/>
          <w:lang w:val="cs-CZ"/>
        </w:rPr>
        <w:t>její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dodavatel nebo někter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ý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ho </w:t>
      </w:r>
      <w:r w:rsid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pod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dodavatelů.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V případ</w:t>
      </w:r>
      <w:r w:rsidR="00423E87">
        <w:rPr>
          <w:rFonts w:ascii="Times New Roman" w:hAnsi="Times New Roman" w:cs="Times New Roman"/>
          <w:color w:val="000000"/>
          <w:sz w:val="22"/>
          <w:szCs w:val="22"/>
          <w:lang w:val="cs-CZ"/>
        </w:rPr>
        <w:t>ě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vyšší moci je k</w:t>
      </w:r>
      <w:r w:rsidR="008677F3"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upující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oprávněn požadovat o</w:t>
      </w:r>
      <w:r w:rsidR="001C4721">
        <w:rPr>
          <w:rFonts w:ascii="Times New Roman" w:hAnsi="Times New Roman" w:cs="Times New Roman"/>
          <w:color w:val="000000"/>
          <w:sz w:val="22"/>
          <w:szCs w:val="22"/>
          <w:lang w:val="cs-CZ"/>
        </w:rPr>
        <w:t>d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vyjádření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, zda odstoup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í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 smlouvy nebo </w:t>
      </w:r>
      <w:r w:rsidR="007D62DF"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zda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bude </w:t>
      </w:r>
      <w:r w:rsidR="00E4738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chtít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přiměřené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m čase</w:t>
      </w:r>
      <w:r w:rsidR="00E4738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plnit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Pokud </w:t>
      </w:r>
      <w:r w:rsidR="007D62DF"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se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bez zbytečného odkladu </w:t>
      </w:r>
      <w:proofErr w:type="gramStart"/>
      <w:r w:rsidR="007D62DF"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nevyjádří</w:t>
      </w:r>
      <w:proofErr w:type="gramEnd"/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="008677F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oprávněn </w:t>
      </w:r>
      <w:r w:rsidRPr="003B37C6">
        <w:rPr>
          <w:rFonts w:ascii="Times New Roman" w:hAnsi="Times New Roman" w:cs="Times New Roman"/>
          <w:color w:val="000000"/>
          <w:sz w:val="22"/>
          <w:szCs w:val="22"/>
          <w:lang w:val="cs-CZ"/>
        </w:rPr>
        <w:t>od smlouvy odstoupit.</w:t>
      </w:r>
    </w:p>
    <w:p w14:paraId="08E58599" w14:textId="6F7A989A" w:rsidR="00851EF1" w:rsidRPr="00D130C5" w:rsidRDefault="00BB2F31" w:rsidP="00851EF1">
      <w:pPr>
        <w:numPr>
          <w:ilvl w:val="0"/>
          <w:numId w:val="17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je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oprávněn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od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epřít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plnění smlouvy:</w:t>
      </w:r>
    </w:p>
    <w:p w14:paraId="6842E611" w14:textId="507CECB0" w:rsidR="00851EF1" w:rsidRPr="00D130C5" w:rsidRDefault="00851EF1" w:rsidP="00851EF1">
      <w:pPr>
        <w:pStyle w:val="Odstavecseseznamem"/>
        <w:numPr>
          <w:ilvl w:val="0"/>
          <w:numId w:val="22"/>
        </w:numPr>
        <w:shd w:val="clear" w:color="auto" w:fill="FFFFFF"/>
        <w:spacing w:before="67"/>
        <w:ind w:right="91" w:hanging="294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 dobu, kdy je kupující v prodlení s převzetím dodávky </w:t>
      </w:r>
      <w:r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nebo s platbou podle jakékoli smlouvy uzavřené s</w:t>
      </w:r>
      <w:r w:rsidR="002C3453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2C3453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2C3453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a/nebo s jakoukoliv jinou společností s</w:t>
      </w:r>
      <w:r w:rsidR="00267068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k</w:t>
      </w:r>
      <w:r w:rsidR="002C3453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upiny HET-</w:t>
      </w:r>
      <w:proofErr w:type="spellStart"/>
      <w:r w:rsidR="002C3453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Elastomertechnik</w:t>
      </w:r>
      <w:proofErr w:type="spellEnd"/>
      <w:r w:rsidR="00AF42F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; použití </w:t>
      </w:r>
      <w:proofErr w:type="spellStart"/>
      <w:r w:rsidR="00AF42F5">
        <w:rPr>
          <w:rFonts w:ascii="Times New Roman" w:hAnsi="Times New Roman" w:cs="Times New Roman"/>
          <w:color w:val="000000"/>
          <w:sz w:val="22"/>
          <w:szCs w:val="22"/>
          <w:lang w:val="cs-CZ"/>
        </w:rPr>
        <w:t>ust</w:t>
      </w:r>
      <w:proofErr w:type="spellEnd"/>
      <w:r w:rsidR="00AF42F5">
        <w:rPr>
          <w:rFonts w:ascii="Times New Roman" w:hAnsi="Times New Roman" w:cs="Times New Roman"/>
          <w:color w:val="000000"/>
          <w:sz w:val="22"/>
          <w:szCs w:val="22"/>
          <w:lang w:val="cs-CZ"/>
        </w:rPr>
        <w:t>. § </w:t>
      </w:r>
      <w:r w:rsidR="00CB7F8F">
        <w:rPr>
          <w:rFonts w:ascii="Times New Roman" w:hAnsi="Times New Roman" w:cs="Times New Roman"/>
          <w:color w:val="000000"/>
          <w:sz w:val="22"/>
          <w:szCs w:val="22"/>
          <w:lang w:val="cs-CZ"/>
        </w:rPr>
        <w:t>1913 OZ se vylučuje</w:t>
      </w:r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>. Ustanovením předchozí věty ne</w:t>
      </w:r>
      <w:r w:rsidR="00D50D5F">
        <w:rPr>
          <w:rFonts w:ascii="Times New Roman" w:hAnsi="Times New Roman" w:cs="Times New Roman"/>
          <w:color w:val="000000"/>
          <w:sz w:val="22"/>
          <w:szCs w:val="22"/>
          <w:lang w:val="cs-CZ"/>
        </w:rPr>
        <w:t>ní</w:t>
      </w:r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dotčeno oprávnění HET-</w:t>
      </w:r>
      <w:proofErr w:type="spellStart"/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odepřít plnění v jiných případech dle těchto VOP a</w:t>
      </w:r>
      <w:r w:rsidR="00D50D5F">
        <w:rPr>
          <w:rFonts w:ascii="Times New Roman" w:hAnsi="Times New Roman" w:cs="Times New Roman"/>
          <w:color w:val="000000"/>
          <w:sz w:val="22"/>
          <w:szCs w:val="22"/>
          <w:lang w:val="cs-CZ"/>
        </w:rPr>
        <w:t>/nebo</w:t>
      </w:r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zákona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; </w:t>
      </w:r>
    </w:p>
    <w:p w14:paraId="69810FD0" w14:textId="72820DDA" w:rsidR="00851EF1" w:rsidRPr="00D130C5" w:rsidRDefault="001F5234" w:rsidP="00851EF1">
      <w:pPr>
        <w:pStyle w:val="Odstavecseseznamem"/>
        <w:numPr>
          <w:ilvl w:val="0"/>
          <w:numId w:val="22"/>
        </w:numPr>
        <w:shd w:val="clear" w:color="auto" w:fill="FFFFFF"/>
        <w:spacing w:before="67"/>
        <w:ind w:right="91" w:hanging="294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vyjde-li po uzavření smlouvy najevo, že plnění kupujícího je ohroženo okolnostmi, kter</w:t>
      </w:r>
      <w:r w:rsidR="0026706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é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nebyly známy v době jejího uzavření,</w:t>
      </w:r>
      <w:r w:rsidR="0026706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zejména dozví-li se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 výrazném zhoršení </w:t>
      </w:r>
      <w:r w:rsidR="00F714E7">
        <w:rPr>
          <w:rFonts w:ascii="Times New Roman" w:hAnsi="Times New Roman" w:cs="Times New Roman"/>
          <w:color w:val="000000"/>
          <w:sz w:val="22"/>
          <w:szCs w:val="22"/>
          <w:lang w:val="cs-CZ"/>
        </w:rPr>
        <w:t>majetkové</w:t>
      </w:r>
      <w:r w:rsidR="00F714E7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A1A15">
        <w:rPr>
          <w:rFonts w:ascii="Times New Roman" w:hAnsi="Times New Roman" w:cs="Times New Roman"/>
          <w:color w:val="000000"/>
          <w:sz w:val="22"/>
          <w:szCs w:val="22"/>
          <w:lang w:val="cs-CZ"/>
        </w:rPr>
        <w:t>situace kupujícího nebo pokud k 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takovému zhoršení </w:t>
      </w:r>
      <w:r w:rsidR="00F714E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poté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dojde, ledaže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byl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uhrazen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záloh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 dostatečné výši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nebo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platb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byla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zajištěn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jiným </w:t>
      </w:r>
      <w:r w:rsidR="000A4310">
        <w:rPr>
          <w:rFonts w:ascii="Times New Roman" w:hAnsi="Times New Roman" w:cs="Times New Roman"/>
          <w:color w:val="000000"/>
          <w:sz w:val="22"/>
          <w:szCs w:val="22"/>
          <w:lang w:val="cs-CZ"/>
        </w:rPr>
        <w:t>pro HET-</w:t>
      </w:r>
      <w:proofErr w:type="spellStart"/>
      <w:r w:rsidR="000A431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0A431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vhodným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dostatečným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způsobem (např. bankovní zárukou).</w:t>
      </w:r>
    </w:p>
    <w:p w14:paraId="53428D73" w14:textId="781B8EEC" w:rsidR="000A6E5B" w:rsidRPr="00D130C5" w:rsidRDefault="00AB717A" w:rsidP="00031C8E">
      <w:pPr>
        <w:numPr>
          <w:ilvl w:val="0"/>
          <w:numId w:val="27"/>
        </w:numPr>
        <w:shd w:val="clear" w:color="auto" w:fill="FFFFFF"/>
        <w:spacing w:before="264"/>
        <w:ind w:left="426" w:hanging="426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Místo plnění, vlastní odběr, výměnné obaly</w:t>
      </w:r>
    </w:p>
    <w:p w14:paraId="637862DC" w14:textId="77777777" w:rsidR="00110336" w:rsidRPr="00110336" w:rsidRDefault="0026786F">
      <w:pPr>
        <w:numPr>
          <w:ilvl w:val="0"/>
          <w:numId w:val="18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Místem plnění 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místo </w:t>
      </w:r>
      <w:r w:rsidR="001A3F5D">
        <w:rPr>
          <w:rFonts w:ascii="Times New Roman" w:hAnsi="Times New Roman" w:cs="Times New Roman"/>
          <w:color w:val="000000"/>
          <w:sz w:val="22"/>
          <w:szCs w:val="22"/>
          <w:lang w:val="cs-CZ"/>
        </w:rPr>
        <w:t>vyskladnění</w:t>
      </w:r>
      <w:r w:rsidR="00521B4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zboží pro kupujícího</w:t>
      </w:r>
      <w:r w:rsidR="001A3F5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Nebezpečí </w:t>
      </w:r>
      <w:r w:rsidR="001A3F5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škody na 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zboží přechází na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kupujícího</w:t>
      </w:r>
      <w:r w:rsidR="00521B4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vyskladněním zboží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66568C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To platí bez ohledu na to, zda </w:t>
      </w:r>
      <w:r w:rsidR="002D7DEA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je zboží vyskladněno pro kupujícího k vlastnímu odběru či k</w:t>
      </w:r>
      <w:r w:rsidR="006B3BE3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2D7DEA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>odeslání</w:t>
      </w:r>
      <w:r w:rsidR="006B3BE3" w:rsidRPr="00165C0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 bez ohledu na okolnost, kdo nese náklady na přepravu.</w:t>
      </w:r>
    </w:p>
    <w:p w14:paraId="3B395AE8" w14:textId="7DC92031" w:rsidR="000A6E5B" w:rsidRPr="00307135" w:rsidRDefault="00110336">
      <w:pPr>
        <w:numPr>
          <w:ilvl w:val="0"/>
          <w:numId w:val="18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307135">
        <w:rPr>
          <w:rFonts w:ascii="Times New Roman" w:hAnsi="Times New Roman" w:cs="Times New Roman"/>
          <w:sz w:val="22"/>
          <w:szCs w:val="22"/>
          <w:lang w:val="cs-CZ"/>
        </w:rPr>
        <w:t>V případě vy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>sklad</w:t>
      </w:r>
      <w:r w:rsidRPr="00307135">
        <w:rPr>
          <w:rFonts w:ascii="Times New Roman" w:hAnsi="Times New Roman" w:cs="Times New Roman"/>
          <w:sz w:val="22"/>
          <w:szCs w:val="22"/>
          <w:lang w:val="cs-CZ"/>
        </w:rPr>
        <w:t>nění zboží k vlastnímu odběru je kupující povinen vy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>skladněné zb</w:t>
      </w:r>
      <w:r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oží odebrat </w:t>
      </w:r>
      <w:r w:rsidR="00E01DB8">
        <w:rPr>
          <w:rFonts w:ascii="Times New Roman" w:hAnsi="Times New Roman" w:cs="Times New Roman"/>
          <w:sz w:val="22"/>
          <w:szCs w:val="22"/>
          <w:lang w:val="cs-CZ"/>
        </w:rPr>
        <w:t>není-li sjednáno jinak</w:t>
      </w:r>
      <w:r w:rsidR="00037F24">
        <w:rPr>
          <w:rFonts w:ascii="Times New Roman" w:hAnsi="Times New Roman" w:cs="Times New Roman"/>
          <w:color w:val="FF0000"/>
          <w:sz w:val="22"/>
          <w:szCs w:val="22"/>
          <w:lang w:val="cs-CZ"/>
        </w:rPr>
        <w:t xml:space="preserve"> </w:t>
      </w:r>
      <w:r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nejpozději do </w:t>
      </w:r>
      <w:proofErr w:type="gramStart"/>
      <w:r w:rsidR="005E51A6">
        <w:rPr>
          <w:rFonts w:ascii="Times New Roman" w:hAnsi="Times New Roman" w:cs="Times New Roman"/>
          <w:sz w:val="22"/>
          <w:szCs w:val="22"/>
          <w:lang w:val="cs-CZ"/>
        </w:rPr>
        <w:t>15</w:t>
      </w:r>
      <w:r w:rsidR="00041AB4">
        <w:rPr>
          <w:rFonts w:ascii="Times New Roman" w:hAnsi="Times New Roman" w:cs="Times New Roman"/>
          <w:sz w:val="22"/>
          <w:szCs w:val="22"/>
          <w:lang w:val="cs-CZ"/>
        </w:rPr>
        <w:t>-ti</w:t>
      </w:r>
      <w:proofErr w:type="gramEnd"/>
      <w:r w:rsidR="00041AB4">
        <w:rPr>
          <w:rFonts w:ascii="Times New Roman" w:hAnsi="Times New Roman" w:cs="Times New Roman"/>
          <w:sz w:val="22"/>
          <w:szCs w:val="22"/>
          <w:lang w:val="cs-CZ"/>
        </w:rPr>
        <w:t xml:space="preserve"> (</w:t>
      </w:r>
      <w:r w:rsidR="005E51A6">
        <w:rPr>
          <w:rFonts w:ascii="Times New Roman" w:hAnsi="Times New Roman" w:cs="Times New Roman"/>
          <w:sz w:val="22"/>
          <w:szCs w:val="22"/>
          <w:lang w:val="cs-CZ"/>
        </w:rPr>
        <w:t>patnácti</w:t>
      </w:r>
      <w:r w:rsidR="00041AB4">
        <w:rPr>
          <w:rFonts w:ascii="Times New Roman" w:hAnsi="Times New Roman" w:cs="Times New Roman"/>
          <w:sz w:val="22"/>
          <w:szCs w:val="22"/>
          <w:lang w:val="cs-CZ"/>
        </w:rPr>
        <w:t xml:space="preserve">) 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>pracovní</w:t>
      </w:r>
      <w:r w:rsidR="00AB717A" w:rsidRPr="00307135">
        <w:rPr>
          <w:rFonts w:ascii="Times New Roman" w:hAnsi="Times New Roman" w:cs="Times New Roman"/>
          <w:sz w:val="22"/>
          <w:szCs w:val="22"/>
          <w:lang w:val="cs-CZ"/>
        </w:rPr>
        <w:t>ch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1B71E9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dnů </w:t>
      </w:r>
      <w:r w:rsidR="00AB717A" w:rsidRPr="00307135">
        <w:rPr>
          <w:rFonts w:ascii="Times New Roman" w:hAnsi="Times New Roman" w:cs="Times New Roman"/>
          <w:sz w:val="22"/>
          <w:szCs w:val="22"/>
          <w:lang w:val="cs-CZ"/>
        </w:rPr>
        <w:t>ode dne vyskladnění zboží, o němž byl kupující společností HET-</w:t>
      </w:r>
      <w:proofErr w:type="spellStart"/>
      <w:r w:rsidR="00AB717A" w:rsidRPr="00307135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AB717A" w:rsidRPr="00307135">
        <w:rPr>
          <w:rFonts w:ascii="Times New Roman" w:hAnsi="Times New Roman" w:cs="Times New Roman"/>
          <w:sz w:val="22"/>
          <w:szCs w:val="22"/>
          <w:lang w:val="cs-CZ"/>
        </w:rPr>
        <w:t>, a to i před vyskladněním zboží, informován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; </w:t>
      </w:r>
      <w:r w:rsidR="00B61335" w:rsidRPr="00307135">
        <w:rPr>
          <w:rFonts w:ascii="Times New Roman" w:hAnsi="Times New Roman" w:cs="Times New Roman"/>
          <w:sz w:val="22"/>
          <w:szCs w:val="22"/>
          <w:lang w:val="cs-CZ"/>
        </w:rPr>
        <w:t>tím nejsou dotčena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ustanovení těchto VOP o přechodu nebezpečí škody na zboží na kupujícího vyskladnění</w:t>
      </w:r>
      <w:r w:rsidR="00AB717A" w:rsidRPr="00307135">
        <w:rPr>
          <w:rFonts w:ascii="Times New Roman" w:hAnsi="Times New Roman" w:cs="Times New Roman"/>
          <w:sz w:val="22"/>
          <w:szCs w:val="22"/>
          <w:lang w:val="cs-CZ"/>
        </w:rPr>
        <w:t>m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zboží. 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>Bude-li kupující s</w:t>
      </w:r>
      <w:r w:rsidR="00041AB4">
        <w:rPr>
          <w:rFonts w:ascii="Times New Roman" w:hAnsi="Times New Roman" w:cs="Times New Roman"/>
          <w:sz w:val="22"/>
          <w:szCs w:val="22"/>
          <w:lang w:val="cs-CZ"/>
        </w:rPr>
        <w:t> 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>plněním</w:t>
      </w:r>
      <w:r w:rsidR="00041AB4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>svoj</w:t>
      </w:r>
      <w:r w:rsidR="00084CB2">
        <w:rPr>
          <w:rFonts w:ascii="Times New Roman" w:hAnsi="Times New Roman" w:cs="Times New Roman"/>
          <w:sz w:val="22"/>
          <w:szCs w:val="22"/>
          <w:lang w:val="cs-CZ"/>
        </w:rPr>
        <w:t>í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povinnost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>i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odebrat vyskladněné zboží ve lhůtě dle předchozí věty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E2388D">
        <w:rPr>
          <w:rFonts w:ascii="Times New Roman" w:hAnsi="Times New Roman" w:cs="Times New Roman"/>
          <w:sz w:val="22"/>
          <w:szCs w:val="22"/>
          <w:lang w:val="cs-CZ"/>
        </w:rPr>
        <w:t xml:space="preserve">tohoto písm. b) 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>déle než</w:t>
      </w:r>
      <w:r w:rsidR="00DC035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>1</w:t>
      </w:r>
      <w:r w:rsidR="005E51A6">
        <w:rPr>
          <w:rFonts w:ascii="Times New Roman" w:hAnsi="Times New Roman" w:cs="Times New Roman"/>
          <w:sz w:val="22"/>
          <w:szCs w:val="22"/>
          <w:lang w:val="cs-CZ"/>
        </w:rPr>
        <w:t>5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DC035F">
        <w:rPr>
          <w:rFonts w:ascii="Times New Roman" w:hAnsi="Times New Roman" w:cs="Times New Roman"/>
          <w:sz w:val="22"/>
          <w:szCs w:val="22"/>
          <w:lang w:val="cs-CZ"/>
        </w:rPr>
        <w:t>(</w:t>
      </w:r>
      <w:r w:rsidR="005E51A6">
        <w:rPr>
          <w:rFonts w:ascii="Times New Roman" w:hAnsi="Times New Roman" w:cs="Times New Roman"/>
          <w:sz w:val="22"/>
          <w:szCs w:val="22"/>
          <w:lang w:val="cs-CZ"/>
        </w:rPr>
        <w:t>pat</w:t>
      </w:r>
      <w:r w:rsidR="00DC035F">
        <w:rPr>
          <w:rFonts w:ascii="Times New Roman" w:hAnsi="Times New Roman" w:cs="Times New Roman"/>
          <w:sz w:val="22"/>
          <w:szCs w:val="22"/>
          <w:lang w:val="cs-CZ"/>
        </w:rPr>
        <w:t xml:space="preserve">náct) 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>dnů v prodlení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>, bude povinen společnosti HET-</w:t>
      </w:r>
      <w:proofErr w:type="spellStart"/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počínaje </w:t>
      </w:r>
      <w:r w:rsidR="00E2388D">
        <w:rPr>
          <w:rFonts w:ascii="Times New Roman" w:hAnsi="Times New Roman" w:cs="Times New Roman"/>
          <w:sz w:val="22"/>
          <w:szCs w:val="22"/>
          <w:lang w:val="cs-CZ"/>
        </w:rPr>
        <w:t>prvním poté</w:t>
      </w:r>
      <w:r w:rsidR="000E2DEF">
        <w:rPr>
          <w:rFonts w:ascii="Times New Roman" w:hAnsi="Times New Roman" w:cs="Times New Roman"/>
          <w:sz w:val="22"/>
          <w:szCs w:val="22"/>
          <w:lang w:val="cs-CZ"/>
        </w:rPr>
        <w:t xml:space="preserve"> následujícím dnem prodlení 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s odebráním zboží zaplatit smluvní pokutu ve výši </w:t>
      </w:r>
      <w:r w:rsidR="00041AB4">
        <w:rPr>
          <w:rFonts w:ascii="Times New Roman" w:hAnsi="Times New Roman" w:cs="Times New Roman"/>
          <w:sz w:val="22"/>
          <w:szCs w:val="22"/>
          <w:lang w:val="cs-CZ"/>
        </w:rPr>
        <w:t>490</w:t>
      </w:r>
      <w:r w:rsidR="00AB717A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,- Kč 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>za paletu/m</w:t>
      </w:r>
      <w:r w:rsidR="006C6CBF" w:rsidRPr="00307135">
        <w:rPr>
          <w:rFonts w:ascii="Times New Roman" w:hAnsi="Times New Roman" w:cs="Times New Roman"/>
          <w:sz w:val="22"/>
          <w:szCs w:val="22"/>
          <w:vertAlign w:val="superscript"/>
          <w:lang w:val="cs-CZ"/>
        </w:rPr>
        <w:t>2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AB717A" w:rsidRPr="00307135">
        <w:rPr>
          <w:rFonts w:ascii="Times New Roman" w:hAnsi="Times New Roman" w:cs="Times New Roman"/>
          <w:sz w:val="22"/>
          <w:szCs w:val="22"/>
          <w:lang w:val="cs-CZ"/>
        </w:rPr>
        <w:t>za každý</w:t>
      </w:r>
      <w:r w:rsidR="00041AB4">
        <w:rPr>
          <w:rFonts w:ascii="Times New Roman" w:hAnsi="Times New Roman" w:cs="Times New Roman"/>
          <w:sz w:val="22"/>
          <w:szCs w:val="22"/>
          <w:lang w:val="cs-CZ"/>
        </w:rPr>
        <w:t xml:space="preserve">ch započatých 30 (třicet) dní </w:t>
      </w:r>
      <w:r w:rsidR="006C6CBF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prodlení. 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Společnost HET-</w:t>
      </w:r>
      <w:proofErr w:type="spellStart"/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je oprávněna odstoupit od smlouvy, přesáhne-li prodlení kupujícího s odebráním vyskladněného zboží </w:t>
      </w:r>
      <w:r w:rsidR="00235457">
        <w:rPr>
          <w:rFonts w:ascii="Times New Roman" w:hAnsi="Times New Roman" w:cs="Times New Roman"/>
          <w:sz w:val="22"/>
          <w:szCs w:val="22"/>
          <w:lang w:val="cs-CZ"/>
        </w:rPr>
        <w:t>30 (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třicet</w:t>
      </w:r>
      <w:r w:rsidR="00235457">
        <w:rPr>
          <w:rFonts w:ascii="Times New Roman" w:hAnsi="Times New Roman" w:cs="Times New Roman"/>
          <w:sz w:val="22"/>
          <w:szCs w:val="22"/>
          <w:lang w:val="cs-CZ"/>
        </w:rPr>
        <w:t>)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dnů</w:t>
      </w:r>
      <w:r w:rsidR="00427821">
        <w:rPr>
          <w:rFonts w:ascii="Times New Roman" w:hAnsi="Times New Roman" w:cs="Times New Roman"/>
          <w:sz w:val="22"/>
          <w:szCs w:val="22"/>
          <w:lang w:val="cs-CZ"/>
        </w:rPr>
        <w:t xml:space="preserve"> po uplynutí lhůty sjednané ve smyslu první věty tohoto písm. b)</w:t>
      </w:r>
      <w:r w:rsidR="00084CB2">
        <w:rPr>
          <w:rFonts w:ascii="Times New Roman" w:hAnsi="Times New Roman" w:cs="Times New Roman"/>
          <w:sz w:val="22"/>
          <w:szCs w:val="22"/>
          <w:lang w:val="cs-CZ"/>
        </w:rPr>
        <w:t xml:space="preserve"> VOP. 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Smluvní pokut</w:t>
      </w:r>
      <w:r w:rsidR="00041AB4">
        <w:rPr>
          <w:rFonts w:ascii="Times New Roman" w:hAnsi="Times New Roman" w:cs="Times New Roman"/>
          <w:sz w:val="22"/>
          <w:szCs w:val="22"/>
          <w:lang w:val="cs-CZ"/>
        </w:rPr>
        <w:t>a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dle tohoto čl. 5 písm. b) VOP j</w:t>
      </w:r>
      <w:r w:rsidR="00E2388D">
        <w:rPr>
          <w:rFonts w:ascii="Times New Roman" w:hAnsi="Times New Roman" w:cs="Times New Roman"/>
          <w:sz w:val="22"/>
          <w:szCs w:val="22"/>
          <w:lang w:val="cs-CZ"/>
        </w:rPr>
        <w:t>e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splatná na základě faktury společnosti HET-</w:t>
      </w:r>
      <w:proofErr w:type="spellStart"/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="00427821">
        <w:rPr>
          <w:rFonts w:ascii="Times New Roman" w:hAnsi="Times New Roman" w:cs="Times New Roman"/>
          <w:sz w:val="22"/>
          <w:szCs w:val="22"/>
          <w:lang w:val="cs-CZ"/>
        </w:rPr>
        <w:t xml:space="preserve">vystavené 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k jejímu zaplacení</w:t>
      </w:r>
      <w:r w:rsidR="00EB1363" w:rsidRPr="00307135">
        <w:rPr>
          <w:rFonts w:ascii="Times New Roman" w:hAnsi="Times New Roman" w:cs="Times New Roman"/>
          <w:sz w:val="22"/>
          <w:szCs w:val="22"/>
          <w:lang w:val="cs-CZ"/>
        </w:rPr>
        <w:t>; zaplacením smluvn</w:t>
      </w:r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í pokuty není dotčeno právo společnosti HET-</w:t>
      </w:r>
      <w:proofErr w:type="spellStart"/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2B7B20" w:rsidRPr="00307135">
        <w:rPr>
          <w:rFonts w:ascii="Times New Roman" w:hAnsi="Times New Roman" w:cs="Times New Roman"/>
          <w:sz w:val="22"/>
          <w:szCs w:val="22"/>
          <w:lang w:val="cs-CZ"/>
        </w:rPr>
        <w:t xml:space="preserve"> na náhradu škody vůči kupujícímu.</w:t>
      </w:r>
      <w:r w:rsidR="002B7B20" w:rsidRPr="00084CB2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</w:p>
    <w:p w14:paraId="22613FDD" w14:textId="66647204" w:rsidR="000A6E5B" w:rsidRPr="00D130C5" w:rsidRDefault="0026786F">
      <w:pPr>
        <w:numPr>
          <w:ilvl w:val="0"/>
          <w:numId w:val="18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lastRenderedPageBreak/>
        <w:t xml:space="preserve">V případě dodání </w:t>
      </w:r>
      <w:r w:rsidR="00E84DCC">
        <w:rPr>
          <w:rFonts w:ascii="Times New Roman" w:hAnsi="Times New Roman" w:cs="Times New Roman"/>
          <w:color w:val="000000"/>
          <w:sz w:val="22"/>
          <w:szCs w:val="22"/>
          <w:lang w:val="cs-CZ"/>
        </w:rPr>
        <w:t>zboží ve 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výměnný</w:t>
      </w:r>
      <w:r w:rsidR="00E84DC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ch </w:t>
      </w:r>
      <w:r w:rsidR="00E84DC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obal</w:t>
      </w:r>
      <w:r w:rsidR="00E84DCC">
        <w:rPr>
          <w:rFonts w:ascii="Times New Roman" w:hAnsi="Times New Roman" w:cs="Times New Roman"/>
          <w:color w:val="000000"/>
          <w:sz w:val="22"/>
          <w:szCs w:val="22"/>
          <w:lang w:val="cs-CZ"/>
        </w:rPr>
        <w:t>ech</w:t>
      </w:r>
      <w:r w:rsidR="00E84DC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(např. </w:t>
      </w:r>
      <w:proofErr w:type="spellStart"/>
      <w:r w:rsidR="007074DA">
        <w:rPr>
          <w:rFonts w:ascii="Times New Roman" w:hAnsi="Times New Roman" w:cs="Times New Roman"/>
          <w:color w:val="000000"/>
          <w:sz w:val="22"/>
          <w:szCs w:val="22"/>
          <w:lang w:val="cs-CZ"/>
        </w:rPr>
        <w:t>gitterboxy</w:t>
      </w:r>
      <w:proofErr w:type="spellEnd"/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europalety atd.) </w:t>
      </w:r>
      <w:r w:rsidR="009B54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="009B54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povinen </w:t>
      </w:r>
      <w:r w:rsidR="00A27F88">
        <w:rPr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>yprázdněné výměnné obaly vrátit</w:t>
      </w:r>
      <w:r w:rsidR="00A27F8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3A554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obratem </w:t>
      </w:r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3A554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V případě </w:t>
      </w:r>
      <w:r w:rsidR="00ED7C69">
        <w:rPr>
          <w:rFonts w:ascii="Times New Roman" w:hAnsi="Times New Roman" w:cs="Times New Roman"/>
          <w:color w:val="000000"/>
          <w:sz w:val="22"/>
          <w:szCs w:val="22"/>
          <w:lang w:val="cs-CZ"/>
        </w:rPr>
        <w:t>souhlasu HET-</w:t>
      </w:r>
      <w:proofErr w:type="spellStart"/>
      <w:r w:rsidR="00ED7C69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ED7C6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může kupující vyprázdněné výměnné obaly HET-</w:t>
      </w:r>
      <w:proofErr w:type="spellStart"/>
      <w:r w:rsidR="00ED7C69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ED7C6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vrátit při další dodávce. </w:t>
      </w:r>
      <w:r w:rsidR="00A27F88">
        <w:rPr>
          <w:rFonts w:ascii="Times New Roman" w:hAnsi="Times New Roman" w:cs="Times New Roman"/>
          <w:color w:val="000000"/>
          <w:sz w:val="22"/>
          <w:szCs w:val="22"/>
          <w:lang w:val="cs-CZ"/>
        </w:rPr>
        <w:t>K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upující </w:t>
      </w:r>
      <w:r w:rsidR="009B54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nese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riziko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ztráty nebo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poškození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výměnných obalů před jejich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vrácením </w:t>
      </w:r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0F4ED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. Kupující ne</w:t>
      </w:r>
      <w:r w:rsidR="009B54E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ní oprávněn ze své vůle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zadržet </w:t>
      </w:r>
      <w:r w:rsidR="00CF5ACD">
        <w:rPr>
          <w:rFonts w:ascii="Times New Roman" w:hAnsi="Times New Roman" w:cs="Times New Roman"/>
          <w:color w:val="000000"/>
          <w:sz w:val="22"/>
          <w:szCs w:val="22"/>
          <w:lang w:val="cs-CZ"/>
        </w:rPr>
        <w:t>výměnné obaly ani jiné hmotné věci movité ve vlastnictví HET-</w:t>
      </w:r>
      <w:proofErr w:type="spellStart"/>
      <w:r w:rsidR="00CF5ACD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CF5AC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</w:p>
    <w:p w14:paraId="07DBC300" w14:textId="73E46AFC" w:rsidR="000A6E5B" w:rsidRPr="00D130C5" w:rsidRDefault="0026786F" w:rsidP="00031C8E">
      <w:pPr>
        <w:numPr>
          <w:ilvl w:val="0"/>
          <w:numId w:val="27"/>
        </w:numPr>
        <w:shd w:val="clear" w:color="auto" w:fill="FFFFFF"/>
        <w:spacing w:before="264"/>
        <w:ind w:left="426" w:hanging="426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Platby, úrok z</w:t>
      </w:r>
      <w:r w:rsidR="00671216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 </w:t>
      </w:r>
      <w:r w:rsidRPr="00D130C5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prodlení</w:t>
      </w:r>
      <w:r w:rsidR="00671216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, smluvní pokuta</w:t>
      </w:r>
    </w:p>
    <w:p w14:paraId="081822B1" w14:textId="6796771B" w:rsidR="00496784" w:rsidRDefault="00496784" w:rsidP="00496784">
      <w:pPr>
        <w:numPr>
          <w:ilvl w:val="0"/>
          <w:numId w:val="19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Není-li </w:t>
      </w:r>
      <w:r w:rsidR="003C2F88">
        <w:rPr>
          <w:rFonts w:ascii="Times New Roman" w:hAnsi="Times New Roman" w:cs="Times New Roman"/>
          <w:sz w:val="22"/>
          <w:szCs w:val="22"/>
          <w:lang w:val="cs-CZ"/>
        </w:rPr>
        <w:t xml:space="preserve">písemně 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sjednáno jinak, je lhůta splatnosti </w:t>
      </w:r>
      <w:r w:rsidR="004B6069">
        <w:rPr>
          <w:rFonts w:ascii="Times New Roman" w:hAnsi="Times New Roman" w:cs="Times New Roman"/>
          <w:sz w:val="22"/>
          <w:szCs w:val="22"/>
          <w:lang w:val="cs-CZ"/>
        </w:rPr>
        <w:t xml:space="preserve">dle vystavené faktury </w:t>
      </w:r>
      <w:r w:rsidRPr="00496784">
        <w:rPr>
          <w:rFonts w:ascii="Times New Roman" w:hAnsi="Times New Roman" w:cs="Times New Roman"/>
          <w:sz w:val="22"/>
          <w:szCs w:val="22"/>
          <w:lang w:val="cs-CZ"/>
        </w:rPr>
        <w:t>14 dnů ode dne zdanitelného plnění</w:t>
      </w:r>
      <w:r>
        <w:rPr>
          <w:rFonts w:ascii="Times New Roman" w:hAnsi="Times New Roman" w:cs="Times New Roman"/>
          <w:sz w:val="22"/>
          <w:szCs w:val="22"/>
          <w:lang w:val="cs-CZ"/>
        </w:rPr>
        <w:t xml:space="preserve"> (zejm. dodání zboží)</w:t>
      </w:r>
      <w:r w:rsidRPr="00496784">
        <w:rPr>
          <w:rFonts w:ascii="Times New Roman" w:hAnsi="Times New Roman" w:cs="Times New Roman"/>
          <w:sz w:val="22"/>
          <w:szCs w:val="22"/>
          <w:lang w:val="cs-CZ"/>
        </w:rPr>
        <w:t>.</w:t>
      </w:r>
    </w:p>
    <w:p w14:paraId="25E8C6E0" w14:textId="7C002611" w:rsidR="003C2F88" w:rsidRPr="00654B4E" w:rsidRDefault="00BC1C51" w:rsidP="00496784">
      <w:pPr>
        <w:numPr>
          <w:ilvl w:val="0"/>
          <w:numId w:val="19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b/>
          <w:bCs/>
          <w:sz w:val="22"/>
          <w:szCs w:val="22"/>
          <w:lang w:val="cs-CZ"/>
        </w:rPr>
      </w:pPr>
      <w:r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Bude-li kupující v prodlení se zaplacením Ceny, </w:t>
      </w:r>
      <w:r w:rsidR="001C1BE6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je povinen zaplatit HET – </w:t>
      </w:r>
      <w:proofErr w:type="spellStart"/>
      <w:r w:rsidR="001C1BE6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>Pragoelast</w:t>
      </w:r>
      <w:proofErr w:type="spellEnd"/>
      <w:r w:rsidR="001C1BE6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úrok z prodlení</w:t>
      </w:r>
      <w:r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</w:t>
      </w:r>
      <w:r w:rsidR="001C1BE6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ve výši zákonného úroku z prodlení, zvýšeného o dva procentní body. Trvá-li prodlení kupujícího déle než </w:t>
      </w:r>
      <w:r w:rsidR="000D2B3D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>jeden měsíc</w:t>
      </w:r>
      <w:r w:rsidR="001C1BE6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, je kupující povinen zaplatit HET – </w:t>
      </w:r>
      <w:proofErr w:type="spellStart"/>
      <w:r w:rsidR="001C1BE6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>Pragoelast</w:t>
      </w:r>
      <w:proofErr w:type="spellEnd"/>
      <w:r w:rsidR="001C1BE6" w:rsidRPr="00654B4E">
        <w:rPr>
          <w:rFonts w:ascii="Times New Roman" w:hAnsi="Times New Roman" w:cs="Times New Roman"/>
          <w:b/>
          <w:bCs/>
          <w:sz w:val="22"/>
          <w:szCs w:val="22"/>
          <w:lang w:val="cs-CZ"/>
        </w:rPr>
        <w:t xml:space="preserve"> vedle úroku z prodlení ve výši dle předchozí věty, ještě i smluvní pokutu ve výši 0,05 % z dlužné částky denně. </w:t>
      </w:r>
    </w:p>
    <w:p w14:paraId="5427C706" w14:textId="628D5A07" w:rsidR="00F65BCA" w:rsidRPr="00496784" w:rsidRDefault="00213B87" w:rsidP="00213B87">
      <w:pPr>
        <w:numPr>
          <w:ilvl w:val="0"/>
          <w:numId w:val="19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První tři dodávky </w:t>
      </w:r>
      <w:r w:rsidR="00C03EC0">
        <w:rPr>
          <w:rFonts w:ascii="Times New Roman" w:hAnsi="Times New Roman" w:cs="Times New Roman"/>
          <w:sz w:val="22"/>
          <w:szCs w:val="22"/>
          <w:lang w:val="cs-CZ"/>
        </w:rPr>
        <w:t xml:space="preserve">HET – </w:t>
      </w:r>
      <w:proofErr w:type="spellStart"/>
      <w:r w:rsidR="00C03EC0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uskuteční pouze na základě uhrazené zálohové faktury. </w:t>
      </w:r>
      <w:r w:rsidR="00B404FC">
        <w:rPr>
          <w:rFonts w:ascii="Times New Roman" w:hAnsi="Times New Roman" w:cs="Times New Roman"/>
          <w:sz w:val="22"/>
          <w:szCs w:val="22"/>
          <w:lang w:val="cs-CZ"/>
        </w:rPr>
        <w:t xml:space="preserve">Další odběry lze uskutečňovat 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>na fakturu do výše smluvního kreditního limitu. Kreditním limitem se rozumí maximální částka, jíž mohou dosáhnout ne</w:t>
      </w:r>
      <w:r w:rsidR="00B404FC">
        <w:rPr>
          <w:rFonts w:ascii="Times New Roman" w:hAnsi="Times New Roman" w:cs="Times New Roman"/>
          <w:sz w:val="22"/>
          <w:szCs w:val="22"/>
          <w:lang w:val="cs-CZ"/>
        </w:rPr>
        <w:t xml:space="preserve">zaplacené 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pohledávky </w:t>
      </w:r>
      <w:r w:rsidR="00B404FC">
        <w:rPr>
          <w:rFonts w:ascii="Times New Roman" w:hAnsi="Times New Roman" w:cs="Times New Roman"/>
          <w:sz w:val="22"/>
          <w:szCs w:val="22"/>
          <w:lang w:val="cs-CZ"/>
        </w:rPr>
        <w:t>HET-</w:t>
      </w:r>
      <w:proofErr w:type="spellStart"/>
      <w:r w:rsidR="00B404FC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B404FC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>vůči kupujícímu</w:t>
      </w:r>
      <w:r w:rsidR="00B404FC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 a to včetně pohledávek </w:t>
      </w:r>
      <w:r w:rsidR="00B404FC">
        <w:rPr>
          <w:rFonts w:ascii="Times New Roman" w:hAnsi="Times New Roman" w:cs="Times New Roman"/>
          <w:sz w:val="22"/>
          <w:szCs w:val="22"/>
          <w:lang w:val="cs-CZ"/>
        </w:rPr>
        <w:t>před splatností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>. Pokud by odebráním dalšího zboží, resp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>.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 vystavením daňového dokladu na základě odběru tohoto zboží, 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>došlo k překročení výše kreditního limitu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, 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>je kupující povinen uhradit HET-</w:t>
      </w:r>
      <w:proofErr w:type="spellStart"/>
      <w:r w:rsidR="006A1837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6A183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ještě před </w:t>
      </w:r>
      <w:r w:rsidR="001C4721">
        <w:rPr>
          <w:rFonts w:ascii="Times New Roman" w:hAnsi="Times New Roman" w:cs="Times New Roman"/>
          <w:sz w:val="22"/>
          <w:szCs w:val="22"/>
          <w:lang w:val="cs-CZ"/>
        </w:rPr>
        <w:t xml:space="preserve">dodáním 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zboží 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>nejméně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 takovou částku, aby k překročení 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 xml:space="preserve">kreditního 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>limitu nedošlo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>,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 a to i v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 xml:space="preserve"> tom </w:t>
      </w:r>
      <w:r w:rsidRPr="00213B87">
        <w:rPr>
          <w:rFonts w:ascii="Times New Roman" w:hAnsi="Times New Roman" w:cs="Times New Roman"/>
          <w:sz w:val="22"/>
          <w:szCs w:val="22"/>
          <w:lang w:val="cs-CZ"/>
        </w:rPr>
        <w:t xml:space="preserve">případě, kdy žádná z pohledávek není po lhůtě splatnosti. </w:t>
      </w:r>
      <w:r w:rsidR="006A1837">
        <w:rPr>
          <w:rFonts w:ascii="Times New Roman" w:hAnsi="Times New Roman" w:cs="Times New Roman"/>
          <w:sz w:val="22"/>
          <w:szCs w:val="22"/>
          <w:lang w:val="cs-CZ"/>
        </w:rPr>
        <w:t>HET-</w:t>
      </w:r>
      <w:proofErr w:type="spellStart"/>
      <w:r w:rsidR="006A1837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6A1837">
        <w:rPr>
          <w:rFonts w:ascii="Times New Roman" w:hAnsi="Times New Roman" w:cs="Times New Roman"/>
          <w:sz w:val="22"/>
          <w:szCs w:val="22"/>
          <w:lang w:val="cs-CZ"/>
        </w:rPr>
        <w:t xml:space="preserve"> je oprávněna odepřít dodání zboží, pokud by jeho dodáním došlo k překročení kreditního limitu. </w:t>
      </w:r>
    </w:p>
    <w:p w14:paraId="55BD413E" w14:textId="6A6E1156" w:rsidR="00D05C82" w:rsidRPr="00D05C82" w:rsidRDefault="0026786F">
      <w:pPr>
        <w:numPr>
          <w:ilvl w:val="0"/>
          <w:numId w:val="19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 případě platby směnkou </w:t>
      </w:r>
      <w:r w:rsidR="00A85527">
        <w:rPr>
          <w:rFonts w:ascii="Times New Roman" w:hAnsi="Times New Roman" w:cs="Times New Roman"/>
          <w:color w:val="000000"/>
          <w:sz w:val="22"/>
          <w:szCs w:val="22"/>
          <w:lang w:val="cs-CZ"/>
        </w:rPr>
        <w:t>nebo šekem</w:t>
      </w:r>
      <w:r w:rsidR="000727A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která bude umožněna pouze po </w:t>
      </w:r>
      <w:r w:rsidR="009C5EE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písemné </w:t>
      </w:r>
      <w:r w:rsidR="000727A7">
        <w:rPr>
          <w:rFonts w:ascii="Times New Roman" w:hAnsi="Times New Roman" w:cs="Times New Roman"/>
          <w:color w:val="000000"/>
          <w:sz w:val="22"/>
          <w:szCs w:val="22"/>
          <w:lang w:val="cs-CZ"/>
        </w:rPr>
        <w:t>dohodě s HET-</w:t>
      </w:r>
      <w:proofErr w:type="spellStart"/>
      <w:r w:rsidR="000727A7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0727A7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 w:rsidR="00A8552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A3B11"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nese </w:t>
      </w:r>
      <w:r w:rsidR="0051638C"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výlohy zúčtování </w:t>
      </w:r>
      <w:r w:rsidR="00E85ED6"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</w:t>
      </w:r>
      <w:r w:rsidR="0051638C"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tyto </w:t>
      </w:r>
      <w:r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>jsou splatné okamžitě bez srážky.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</w:t>
      </w:r>
      <w:r w:rsidR="0055503E">
        <w:rPr>
          <w:rFonts w:ascii="Times New Roman" w:hAnsi="Times New Roman" w:cs="Times New Roman"/>
          <w:color w:val="000000"/>
          <w:sz w:val="22"/>
          <w:szCs w:val="22"/>
          <w:lang w:val="cs-CZ"/>
        </w:rPr>
        <w:t>epřebírá</w:t>
      </w:r>
      <w:r w:rsidR="00D05C82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odpovědnost za správné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včasné předložení </w:t>
      </w:r>
      <w:r w:rsidR="003F2DC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(prezentaci)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protestování</w:t>
      </w:r>
      <w:r w:rsid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směnky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Směnky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šeky se přijímají pouze </w:t>
      </w:r>
      <w:r w:rsidR="0049092F">
        <w:rPr>
          <w:rFonts w:ascii="Times New Roman" w:hAnsi="Times New Roman" w:cs="Times New Roman"/>
          <w:color w:val="000000"/>
          <w:sz w:val="22"/>
          <w:szCs w:val="22"/>
          <w:lang w:val="cs-CZ"/>
        </w:rPr>
        <w:t>pro účely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plnění. </w:t>
      </w:r>
    </w:p>
    <w:p w14:paraId="14D495F1" w14:textId="3F878F83" w:rsidR="000A6E5B" w:rsidRPr="00D130C5" w:rsidRDefault="0026786F">
      <w:pPr>
        <w:numPr>
          <w:ilvl w:val="0"/>
          <w:numId w:val="19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>Slevy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se poskytují </w:t>
      </w:r>
      <w:r w:rsidR="00B25795">
        <w:rPr>
          <w:rFonts w:ascii="Times New Roman" w:hAnsi="Times New Roman" w:cs="Times New Roman"/>
          <w:color w:val="000000"/>
          <w:sz w:val="22"/>
          <w:szCs w:val="22"/>
          <w:lang w:val="cs-CZ"/>
        </w:rPr>
        <w:t>pouze na</w:t>
      </w:r>
      <w:r w:rsidR="00B25795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B2579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základě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písemné </w:t>
      </w:r>
      <w:r w:rsidR="00B25795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dohod</w:t>
      </w:r>
      <w:r w:rsidR="00B25795">
        <w:rPr>
          <w:rFonts w:ascii="Times New Roman" w:hAnsi="Times New Roman" w:cs="Times New Roman"/>
          <w:color w:val="000000"/>
          <w:sz w:val="22"/>
          <w:szCs w:val="22"/>
          <w:lang w:val="cs-CZ"/>
        </w:rPr>
        <w:t>y s HET-</w:t>
      </w:r>
      <w:proofErr w:type="spellStart"/>
      <w:r w:rsidR="00B25795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B25795">
        <w:rPr>
          <w:rFonts w:ascii="Times New Roman" w:hAnsi="Times New Roman" w:cs="Times New Roman"/>
          <w:color w:val="000000"/>
          <w:sz w:val="22"/>
          <w:szCs w:val="22"/>
          <w:lang w:val="cs-CZ"/>
        </w:rPr>
        <w:t>, jejíž součástí bude i výše slevy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; slevy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se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neposkytují, </w:t>
      </w:r>
      <w:r w:rsidR="00D05C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je-li </w:t>
      </w:r>
      <w:r w:rsidR="004D56A1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 v 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prodlení s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úhradou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dřívějších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dodávek.</w:t>
      </w:r>
    </w:p>
    <w:p w14:paraId="3A890835" w14:textId="5C706E11" w:rsidR="000A6E5B" w:rsidRPr="00D130C5" w:rsidRDefault="0025022F">
      <w:pPr>
        <w:numPr>
          <w:ilvl w:val="0"/>
          <w:numId w:val="19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ohledávky </w:t>
      </w:r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HET – </w:t>
      </w:r>
      <w:proofErr w:type="spellStart"/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se stávají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ihned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splatnými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bez ohledu na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sjednanou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splatnost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dobu splatnosti přijatých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směnek</w:t>
      </w:r>
      <w:r w:rsidR="00A8552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nebo šeků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55503E">
        <w:rPr>
          <w:rFonts w:ascii="Times New Roman" w:hAnsi="Times New Roman" w:cs="Times New Roman"/>
          <w:color w:val="000000"/>
          <w:sz w:val="22"/>
          <w:szCs w:val="22"/>
          <w:lang w:val="cs-CZ"/>
        </w:rPr>
        <w:t>dostane-li se kupující do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prodlení s úhradou </w:t>
      </w:r>
      <w:r w:rsidR="003F2DC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jedné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faktury nebo v případě platby ve splátkách </w:t>
      </w:r>
      <w:r w:rsidR="0055503E">
        <w:rPr>
          <w:rFonts w:ascii="Times New Roman" w:hAnsi="Times New Roman" w:cs="Times New Roman"/>
          <w:color w:val="000000"/>
          <w:sz w:val="22"/>
          <w:szCs w:val="22"/>
          <w:lang w:val="cs-CZ"/>
        </w:rPr>
        <w:t>do</w:t>
      </w:r>
      <w:r w:rsidR="0055503E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prodlení s úhradou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dvou splátek</w:t>
      </w:r>
      <w:r w:rsidR="0055503E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nebo pokud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 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uzavření smlouvy </w:t>
      </w:r>
      <w:r w:rsidR="003F2DC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vyjdou najevo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okolnosti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F86E5E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které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důvodně vzbuzují </w:t>
      </w:r>
      <w:r w:rsidR="004D56A1">
        <w:rPr>
          <w:rFonts w:ascii="Times New Roman" w:hAnsi="Times New Roman" w:cs="Times New Roman"/>
          <w:color w:val="000000"/>
          <w:sz w:val="22"/>
          <w:szCs w:val="22"/>
          <w:lang w:val="cs-CZ"/>
        </w:rPr>
        <w:t>pochybnosti o solventnosti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kupujícího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. V takovém případě j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>e HET-</w:t>
      </w:r>
      <w:proofErr w:type="spellStart"/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3D152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oprávněn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aniž by 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tím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byla dotčena 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jiná její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práva, </w:t>
      </w:r>
      <w:r w:rsidR="00EC67F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uskutečnit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zbývající dodávky pouze </w:t>
      </w:r>
      <w:r w:rsidR="00354465">
        <w:rPr>
          <w:rFonts w:ascii="Times New Roman" w:hAnsi="Times New Roman" w:cs="Times New Roman"/>
          <w:color w:val="000000"/>
          <w:sz w:val="22"/>
          <w:szCs w:val="22"/>
          <w:lang w:val="cs-CZ"/>
        </w:rPr>
        <w:t>oproti záloze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nebo 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>poskytnutí</w:t>
      </w:r>
      <w:r w:rsidR="003D152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odpovídající</w:t>
      </w:r>
      <w:r w:rsidR="003D152F">
        <w:rPr>
          <w:rFonts w:ascii="Times New Roman" w:hAnsi="Times New Roman" w:cs="Times New Roman"/>
          <w:color w:val="000000"/>
          <w:sz w:val="22"/>
          <w:szCs w:val="22"/>
          <w:lang w:val="cs-CZ"/>
        </w:rPr>
        <w:t>ho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zajištění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360CA1EF" w14:textId="227E085F" w:rsidR="000A6E5B" w:rsidRPr="00D130C5" w:rsidRDefault="0026786F" w:rsidP="00B27EFC">
      <w:pPr>
        <w:numPr>
          <w:ilvl w:val="0"/>
          <w:numId w:val="19"/>
        </w:numPr>
        <w:shd w:val="clear" w:color="auto" w:fill="FFFFFF"/>
        <w:spacing w:before="67"/>
        <w:ind w:left="426" w:right="91" w:hanging="426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Příchozí </w:t>
      </w:r>
      <w:r w:rsidR="00EC67F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(obdržené)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platby</w:t>
      </w:r>
      <w:r w:rsidR="00EC67F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A8552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 kupujícího </w:t>
      </w:r>
      <w:r w:rsidR="00EC67F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</w:t>
      </w:r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C67F5">
        <w:rPr>
          <w:rFonts w:ascii="Times New Roman" w:hAnsi="Times New Roman" w:cs="Times New Roman"/>
          <w:color w:val="000000"/>
          <w:sz w:val="22"/>
          <w:szCs w:val="22"/>
          <w:lang w:val="cs-CZ"/>
        </w:rPr>
        <w:t>oprávněn</w:t>
      </w:r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E85ED6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podle své</w:t>
      </w:r>
      <w:r w:rsidR="00EC67F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volby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započíst </w:t>
      </w:r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>na jeho jednotlivé závazky, odpovídající její</w:t>
      </w:r>
      <w:r w:rsidR="00DA6725">
        <w:rPr>
          <w:rFonts w:ascii="Times New Roman" w:hAnsi="Times New Roman" w:cs="Times New Roman"/>
          <w:color w:val="000000"/>
          <w:sz w:val="22"/>
          <w:szCs w:val="22"/>
          <w:lang w:val="cs-CZ"/>
        </w:rPr>
        <w:t>m</w:t>
      </w:r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pohledávkám, a to i tehdy, </w:t>
      </w:r>
      <w:proofErr w:type="gramStart"/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>určí</w:t>
      </w:r>
      <w:proofErr w:type="gramEnd"/>
      <w:r w:rsidR="00660C9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-li kupující na který svůj závazek plní.  </w:t>
      </w:r>
      <w:r w:rsidR="00EA3B1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</w:p>
    <w:p w14:paraId="1DAD2F02" w14:textId="77777777" w:rsidR="00EA3B11" w:rsidRPr="00D130C5" w:rsidRDefault="00EA3B11" w:rsidP="00E85ED6">
      <w:pPr>
        <w:shd w:val="clear" w:color="auto" w:fill="FFFFFF"/>
        <w:tabs>
          <w:tab w:val="left" w:pos="144"/>
        </w:tabs>
        <w:spacing w:before="5"/>
        <w:ind w:left="5" w:right="10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7F129C2" w14:textId="019BA9C7" w:rsidR="000A6E5B" w:rsidRPr="00D130C5" w:rsidRDefault="006F21E6" w:rsidP="00031C8E">
      <w:pPr>
        <w:numPr>
          <w:ilvl w:val="0"/>
          <w:numId w:val="27"/>
        </w:numPr>
        <w:shd w:val="clear" w:color="auto" w:fill="FFFFFF"/>
        <w:spacing w:before="264" w:after="120"/>
        <w:ind w:left="425" w:hanging="425"/>
        <w:rPr>
          <w:rFonts w:ascii="Times New Roman" w:hAnsi="Times New Roman" w:cs="Times New Roman"/>
          <w:b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Započtení</w:t>
      </w:r>
      <w:r w:rsidR="007E5A17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, postoupení</w:t>
      </w:r>
    </w:p>
    <w:p w14:paraId="19DBBCA3" w14:textId="4C59CAAD" w:rsidR="000A6E5B" w:rsidRDefault="00B27EFC" w:rsidP="0038070E">
      <w:pPr>
        <w:pStyle w:val="Odstavecseseznamem"/>
        <w:numPr>
          <w:ilvl w:val="0"/>
          <w:numId w:val="23"/>
        </w:numPr>
        <w:shd w:val="clear" w:color="auto" w:fill="FFFFFF"/>
        <w:tabs>
          <w:tab w:val="left" w:pos="426"/>
        </w:tabs>
        <w:spacing w:before="5" w:after="60"/>
        <w:ind w:left="425" w:right="11" w:hanging="425"/>
        <w:contextualSpacing w:val="0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 není oprávněn jednostranně započíst proti jiným pohledávkám HET-</w:t>
      </w:r>
      <w:proofErr w:type="spellStart"/>
      <w:proofErr w:type="gramStart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proofErr w:type="gramEnd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nežli těm, které mu </w:t>
      </w:r>
      <w:r w:rsidR="0025022F"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byly </w:t>
      </w:r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vůči HET-</w:t>
      </w:r>
      <w:proofErr w:type="spellStart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pravomocně přiznány nebo které HET-</w:t>
      </w:r>
      <w:proofErr w:type="spellStart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písemně co do důvodu a výše uznala. </w:t>
      </w:r>
      <w:r w:rsidR="0025022F"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25022F"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25022F"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je oprávněna jednostranně započíst vůči kupujícímu jakékoli </w:t>
      </w:r>
      <w:r w:rsidR="00DA672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své </w:t>
      </w:r>
      <w:r w:rsidR="0025022F"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pohledávky, a to i v případě, že </w:t>
      </w:r>
      <w:r w:rsidR="00DA6725">
        <w:rPr>
          <w:rFonts w:ascii="Times New Roman" w:hAnsi="Times New Roman" w:cs="Times New Roman"/>
          <w:color w:val="000000"/>
          <w:sz w:val="22"/>
          <w:szCs w:val="22"/>
          <w:lang w:val="cs-CZ"/>
        </w:rPr>
        <w:t>nebyly pravomocně přiznány</w:t>
      </w:r>
      <w:r w:rsidR="0025022F"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5B3578F1" w14:textId="71FFEE43" w:rsidR="007E5A17" w:rsidRPr="007E5A17" w:rsidRDefault="007331E5" w:rsidP="007E5A17">
      <w:pPr>
        <w:pStyle w:val="Odstavecseseznamem"/>
        <w:numPr>
          <w:ilvl w:val="0"/>
          <w:numId w:val="23"/>
        </w:numPr>
        <w:shd w:val="clear" w:color="auto" w:fill="FFFFFF"/>
        <w:tabs>
          <w:tab w:val="left" w:pos="426"/>
        </w:tabs>
        <w:spacing w:before="5"/>
        <w:ind w:left="426" w:right="10" w:hanging="426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není oprávněn postoupit jakoukoliv pohledávku </w:t>
      </w:r>
      <w:r w:rsidR="00267068">
        <w:rPr>
          <w:rFonts w:ascii="Times New Roman" w:hAnsi="Times New Roman" w:cs="Times New Roman"/>
          <w:color w:val="000000"/>
          <w:sz w:val="22"/>
          <w:szCs w:val="22"/>
          <w:lang w:val="cs-CZ"/>
        </w:rPr>
        <w:t>vůči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FA14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vzniklou </w:t>
      </w:r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ze smlouvy dle těchto VOP </w:t>
      </w:r>
      <w:r w:rsidR="00FA148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nebo v souvislosti s ní </w:t>
      </w:r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a/nebo samotnou smlouvu či její část na třetí osobu bez předchozího písemného souhlasu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Pr="007E5A17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1DE085CB" w14:textId="77777777" w:rsidR="00EA3B11" w:rsidRPr="00D130C5" w:rsidRDefault="00EA3B11" w:rsidP="00E85ED6">
      <w:pPr>
        <w:shd w:val="clear" w:color="auto" w:fill="FFFFFF"/>
        <w:tabs>
          <w:tab w:val="left" w:pos="144"/>
        </w:tabs>
        <w:spacing w:before="5"/>
        <w:ind w:left="5" w:right="10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</w:p>
    <w:p w14:paraId="497988A6" w14:textId="77777777" w:rsidR="00851EF1" w:rsidRPr="00D130C5" w:rsidRDefault="00851EF1" w:rsidP="00031C8E">
      <w:pPr>
        <w:numPr>
          <w:ilvl w:val="0"/>
          <w:numId w:val="27"/>
        </w:numPr>
        <w:shd w:val="clear" w:color="auto" w:fill="FFFFFF"/>
        <w:spacing w:before="264"/>
        <w:ind w:left="426" w:hanging="426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Výhrada vlastnictví</w:t>
      </w:r>
    </w:p>
    <w:p w14:paraId="567C2238" w14:textId="67BD4C8E" w:rsidR="00851EF1" w:rsidRPr="00D130C5" w:rsidRDefault="00851EF1" w:rsidP="00851EF1">
      <w:pPr>
        <w:numPr>
          <w:ilvl w:val="0"/>
          <w:numId w:val="20"/>
        </w:numPr>
        <w:shd w:val="clear" w:color="auto" w:fill="FFFFFF"/>
        <w:tabs>
          <w:tab w:val="left" w:pos="139"/>
        </w:tabs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Zboží zůstává </w:t>
      </w:r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ve vlastnictví </w:t>
      </w:r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HET – </w:t>
      </w:r>
      <w:proofErr w:type="spellStart"/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až do úplného zaplacení </w:t>
      </w:r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jeho </w:t>
      </w:r>
      <w:r w:rsidR="00965095">
        <w:rPr>
          <w:rFonts w:ascii="Times New Roman" w:hAnsi="Times New Roman" w:cs="Times New Roman"/>
          <w:color w:val="000000"/>
          <w:sz w:val="22"/>
          <w:szCs w:val="22"/>
          <w:lang w:val="cs-CZ"/>
        </w:rPr>
        <w:t>C</w:t>
      </w:r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eny.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 případě přijetí směnek a šeků </w:t>
      </w:r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 placení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zůstává zboží </w:t>
      </w:r>
      <w:r w:rsidR="006739E9">
        <w:rPr>
          <w:rFonts w:ascii="Times New Roman" w:hAnsi="Times New Roman" w:cs="Times New Roman"/>
          <w:color w:val="000000"/>
          <w:sz w:val="22"/>
          <w:szCs w:val="22"/>
          <w:lang w:val="cs-CZ"/>
        </w:rPr>
        <w:t>v</w:t>
      </w:r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>e vlastnictví HET-</w:t>
      </w:r>
      <w:proofErr w:type="spellStart"/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D23D6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až do jejich proplacení.</w:t>
      </w:r>
    </w:p>
    <w:p w14:paraId="733996FB" w14:textId="05A6E415" w:rsidR="000A6E5B" w:rsidRPr="006D29BF" w:rsidRDefault="006D29BF" w:rsidP="006D29BF">
      <w:pPr>
        <w:numPr>
          <w:ilvl w:val="0"/>
          <w:numId w:val="20"/>
        </w:numPr>
        <w:shd w:val="clear" w:color="auto" w:fill="FFFFFF"/>
        <w:tabs>
          <w:tab w:val="left" w:pos="139"/>
        </w:tabs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 w:rsidRPr="006D29BF"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Kupující není oprávněn smísit či zpracovat zboží podléhající výhradě vlastnictví.</w:t>
      </w:r>
      <w:r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 xml:space="preserve"> Smísí-li či zpracuje-li kupující zboží podléhající výhradě vlastnictví či umožní-li, aby tak učinila třetí osoba, posoudí se vlastnictví k nové věci podle příslušných ustanovení OZ a kupující HET-</w:t>
      </w:r>
      <w:proofErr w:type="spellStart"/>
      <w:r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  <w:t xml:space="preserve"> nahradí veškerou jí vzniklou škodu. </w:t>
      </w:r>
    </w:p>
    <w:p w14:paraId="036216D2" w14:textId="16980535" w:rsidR="000A6E5B" w:rsidRPr="00D130C5" w:rsidRDefault="00E85ED6">
      <w:pPr>
        <w:numPr>
          <w:ilvl w:val="0"/>
          <w:numId w:val="20"/>
        </w:numPr>
        <w:shd w:val="clear" w:color="auto" w:fill="FFFFFF"/>
        <w:tabs>
          <w:tab w:val="left" w:pos="139"/>
        </w:tabs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oprávněn zboží </w:t>
      </w:r>
      <w:r w:rsidR="00A61A45">
        <w:rPr>
          <w:rFonts w:ascii="Times New Roman" w:hAnsi="Times New Roman" w:cs="Times New Roman"/>
          <w:color w:val="000000"/>
          <w:sz w:val="22"/>
          <w:szCs w:val="22"/>
          <w:lang w:val="cs-CZ"/>
        </w:rPr>
        <w:t>podléhající výhradě vlastnic</w:t>
      </w:r>
      <w:r w:rsidR="0065592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tví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dále prodat pouze v rámci běžného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obchodního styku. Kupující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nesmí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zboží </w:t>
      </w:r>
      <w:r w:rsidR="0031517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podléhající výhradě vlastnictví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zastavit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ani </w:t>
      </w:r>
      <w:r w:rsidR="004E2E45">
        <w:rPr>
          <w:rFonts w:ascii="Times New Roman" w:hAnsi="Times New Roman" w:cs="Times New Roman"/>
          <w:color w:val="000000"/>
          <w:sz w:val="22"/>
          <w:szCs w:val="22"/>
          <w:lang w:val="cs-CZ"/>
        </w:rPr>
        <w:t>k němu zřídit zajišťovací převod práva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lastRenderedPageBreak/>
        <w:t xml:space="preserve">V případě </w:t>
      </w:r>
      <w:r w:rsidR="00655924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z</w:t>
      </w:r>
      <w:r w:rsidR="00655924"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A229A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bavení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nebo jiného </w:t>
      </w:r>
      <w:r w:rsidR="0065592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omezení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práv </w:t>
      </w:r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třetími </w:t>
      </w:r>
      <w:r w:rsidR="00655924">
        <w:rPr>
          <w:rFonts w:ascii="Times New Roman" w:hAnsi="Times New Roman" w:cs="Times New Roman"/>
          <w:color w:val="000000"/>
          <w:sz w:val="22"/>
          <w:szCs w:val="22"/>
          <w:lang w:val="cs-CZ"/>
        </w:rPr>
        <w:t>osobami</w:t>
      </w:r>
      <w:r w:rsidR="00655924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>je kupující povinen HET-</w:t>
      </w:r>
      <w:proofErr w:type="spellStart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neprodleně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informov</w:t>
      </w:r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>at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 </w:t>
      </w:r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poskytnout </w:t>
      </w:r>
      <w:r w:rsidR="00A229AD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A229AD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veškerou součinnost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při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vymáhání práv</w:t>
      </w:r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Ustanovením předchozí věty není dotčeno právo HET-</w:t>
      </w:r>
      <w:proofErr w:type="spellStart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F174F2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na náhradu škody.</w:t>
      </w:r>
    </w:p>
    <w:p w14:paraId="65121EAC" w14:textId="21B1C6E6" w:rsidR="000A6E5B" w:rsidRPr="00D130C5" w:rsidRDefault="00F174F2" w:rsidP="00851EF1">
      <w:pPr>
        <w:numPr>
          <w:ilvl w:val="0"/>
          <w:numId w:val="20"/>
        </w:numPr>
        <w:shd w:val="clear" w:color="auto" w:fill="FFFFFF"/>
        <w:tabs>
          <w:tab w:val="left" w:pos="139"/>
        </w:tabs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Uzavřením smlouvy k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upující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postupuje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 účelem zajištění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veškeré</w:t>
      </w:r>
      <w:r w:rsidR="0045298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</w:t>
      </w:r>
      <w:r w:rsidR="000914E8">
        <w:rPr>
          <w:rFonts w:ascii="Times New Roman" w:hAnsi="Times New Roman" w:cs="Times New Roman"/>
          <w:color w:val="000000"/>
          <w:sz w:val="22"/>
          <w:szCs w:val="22"/>
          <w:lang w:val="cs-CZ"/>
        </w:rPr>
        <w:t>tj. rovněž</w:t>
      </w:r>
      <w:r w:rsidR="0045298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budoucí,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pohledávky vyplývající z</w:t>
      </w:r>
      <w:r w:rsidR="005B648B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dalšího prodeje zboží </w:t>
      </w:r>
      <w:r w:rsidR="005B648B">
        <w:rPr>
          <w:rFonts w:ascii="Times New Roman" w:hAnsi="Times New Roman" w:cs="Times New Roman"/>
          <w:color w:val="000000"/>
          <w:sz w:val="22"/>
          <w:szCs w:val="22"/>
          <w:lang w:val="cs-CZ"/>
        </w:rPr>
        <w:t>podléhajícího výhradě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vlastnictví. </w:t>
      </w:r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zmocňuje kupujícího </w:t>
      </w:r>
      <w:r w:rsidR="001F3168">
        <w:rPr>
          <w:rFonts w:ascii="Times New Roman" w:hAnsi="Times New Roman" w:cs="Times New Roman"/>
          <w:color w:val="000000"/>
          <w:sz w:val="22"/>
          <w:szCs w:val="22"/>
          <w:lang w:val="cs-CZ"/>
        </w:rPr>
        <w:t>k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 inkasu a </w:t>
      </w:r>
      <w:r w:rsidR="001F3168">
        <w:rPr>
          <w:rFonts w:ascii="Times New Roman" w:hAnsi="Times New Roman" w:cs="Times New Roman"/>
          <w:color w:val="000000"/>
          <w:sz w:val="22"/>
          <w:szCs w:val="22"/>
          <w:lang w:val="cs-CZ"/>
        </w:rPr>
        <w:t>vymáhání pohledávek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 běžném obchodním styku, </w:t>
      </w:r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>a to po dobu, po kterou kupující</w:t>
      </w:r>
      <w:r w:rsidR="002623B4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plní své platební povinnosti </w:t>
      </w:r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>vůči HET-</w:t>
      </w:r>
      <w:proofErr w:type="spellStart"/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v souladu se smlouvou.</w:t>
      </w:r>
    </w:p>
    <w:p w14:paraId="032FA905" w14:textId="40DCA8B5" w:rsidR="003F12DE" w:rsidRPr="003F12DE" w:rsidRDefault="00851EF1" w:rsidP="003F12DE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67"/>
        <w:ind w:left="426" w:right="5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 případě výrazného zhoršení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>hospodářské</w:t>
      </w:r>
      <w:r w:rsidR="003F12DE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situace kupujícího </w:t>
      </w:r>
      <w:r w:rsidR="002623B4">
        <w:rPr>
          <w:rFonts w:ascii="Times New Roman" w:hAnsi="Times New Roman" w:cs="Times New Roman"/>
          <w:color w:val="000000"/>
          <w:sz w:val="22"/>
          <w:szCs w:val="22"/>
          <w:lang w:val="cs-CZ"/>
        </w:rPr>
        <w:t>–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zejména v případě prodle</w:t>
      </w:r>
      <w:r w:rsidR="005B648B">
        <w:rPr>
          <w:rFonts w:ascii="Times New Roman" w:hAnsi="Times New Roman" w:cs="Times New Roman"/>
          <w:color w:val="000000"/>
          <w:sz w:val="22"/>
          <w:szCs w:val="22"/>
          <w:lang w:val="cs-CZ"/>
        </w:rPr>
        <w:t>ní s platbou, zastavení plateb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zahájení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insolvenčního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řízení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>–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zaniká kupujícímu udělené </w:t>
      </w:r>
      <w:r w:rsidR="001F3168">
        <w:rPr>
          <w:rFonts w:ascii="Times New Roman" w:hAnsi="Times New Roman" w:cs="Times New Roman"/>
          <w:color w:val="000000"/>
          <w:sz w:val="22"/>
          <w:szCs w:val="22"/>
          <w:lang w:val="cs-CZ"/>
        </w:rPr>
        <w:t>zmocnění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k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inkasu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(čl. </w:t>
      </w:r>
      <w:r w:rsidR="00A94307">
        <w:rPr>
          <w:rFonts w:ascii="Times New Roman" w:hAnsi="Times New Roman" w:cs="Times New Roman"/>
          <w:color w:val="000000"/>
          <w:sz w:val="22"/>
          <w:szCs w:val="22"/>
          <w:lang w:val="cs-CZ"/>
        </w:rPr>
        <w:t>8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písm. d) věta druhá VOP)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. V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 případě dle předchozí věty je HET-</w:t>
      </w:r>
      <w:proofErr w:type="spellStart"/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rovněž oprávněna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odstoupit od smlouvy a požadovat vrácení zboží</w:t>
      </w:r>
      <w:r w:rsidR="005B648B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podléhajícího výhradě vlastnictví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Kupující 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</w:t>
      </w:r>
      <w:r w:rsidR="007F20B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 takovém případě 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povinen HET-</w:t>
      </w:r>
      <w:proofErr w:type="spellStart"/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uhradit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náklady na vyzvednutí a </w:t>
      </w:r>
      <w:r w:rsidR="00294259">
        <w:rPr>
          <w:rFonts w:ascii="Times New Roman" w:hAnsi="Times New Roman" w:cs="Times New Roman"/>
          <w:color w:val="000000"/>
          <w:sz w:val="22"/>
          <w:szCs w:val="22"/>
          <w:lang w:val="cs-CZ"/>
        </w:rPr>
        <w:t>zpeněžení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zboží</w:t>
      </w:r>
      <w:r w:rsidR="0088523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podléhajícího výhradě vlastnictví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je </w:t>
      </w:r>
      <w:r w:rsidR="007F20B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dále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povinen </w:t>
      </w:r>
      <w:r w:rsidR="007F20B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na výzvu 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zaslat </w:t>
      </w:r>
      <w:r w:rsidR="007F20B8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7F20B8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7F20B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9B77D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bezodkladně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podrobný seznam zboží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podléhajícího výhradě vlastnictví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jakož i seznam třetích osob, které jsou dlužníky pohledávek, které byly </w:t>
      </w:r>
      <w:r w:rsidR="00452986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45298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45298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kupujícím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 účelem zajištění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postoupeny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(čl. </w:t>
      </w:r>
      <w:r w:rsidR="007F20B8">
        <w:rPr>
          <w:rFonts w:ascii="Times New Roman" w:hAnsi="Times New Roman" w:cs="Times New Roman"/>
          <w:color w:val="000000"/>
          <w:sz w:val="22"/>
          <w:szCs w:val="22"/>
          <w:lang w:val="cs-CZ"/>
        </w:rPr>
        <w:t>8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písm. d) věta první VOP)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Bez 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újmy práv podle předchozích vět je </w:t>
      </w:r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HET – </w:t>
      </w:r>
      <w:proofErr w:type="spellStart"/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92046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oprávněn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a</w:t>
      </w:r>
      <w:r w:rsidR="0092046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kdykoli provést </w:t>
      </w:r>
      <w:r w:rsidR="003F12D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 kupujícího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příslušná zjištění za účelem ochrany 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>svých</w:t>
      </w:r>
      <w:r w:rsidR="0092046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práv, zejména vstoupit do skladovacích</w:t>
      </w:r>
      <w:r w:rsidR="000B61B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 nákladních </w:t>
      </w:r>
      <w:r w:rsidR="00EC0B00">
        <w:rPr>
          <w:rFonts w:ascii="Times New Roman" w:hAnsi="Times New Roman" w:cs="Times New Roman"/>
          <w:color w:val="000000"/>
          <w:sz w:val="22"/>
          <w:szCs w:val="22"/>
          <w:lang w:val="cs-CZ"/>
        </w:rPr>
        <w:t>prostor</w:t>
      </w:r>
      <w:r w:rsidR="0092046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kupujícího</w:t>
      </w:r>
      <w:r w:rsidR="00EC0B00">
        <w:rPr>
          <w:rFonts w:ascii="Times New Roman" w:hAnsi="Times New Roman" w:cs="Times New Roman"/>
          <w:color w:val="000000"/>
          <w:sz w:val="22"/>
          <w:szCs w:val="22"/>
          <w:lang w:val="cs-CZ"/>
        </w:rPr>
        <w:t>, jakož i nahlédnout do</w:t>
      </w:r>
      <w:r w:rsidR="00FB3B9B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všech</w:t>
      </w:r>
      <w:r w:rsidR="00EC0B0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potřebných podkladů a</w:t>
      </w:r>
      <w:r w:rsidR="00FB3B9B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0B61B6">
        <w:rPr>
          <w:rFonts w:ascii="Times New Roman" w:hAnsi="Times New Roman" w:cs="Times New Roman"/>
          <w:color w:val="000000"/>
          <w:sz w:val="22"/>
          <w:szCs w:val="22"/>
          <w:lang w:val="cs-CZ"/>
        </w:rPr>
        <w:t>účetnictví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5673D3F2" w14:textId="7C7ECE66" w:rsidR="000A6E5B" w:rsidRPr="00D130C5" w:rsidRDefault="0092046C" w:rsidP="00851EF1">
      <w:pPr>
        <w:numPr>
          <w:ilvl w:val="0"/>
          <w:numId w:val="20"/>
        </w:numPr>
        <w:shd w:val="clear" w:color="auto" w:fill="FFFFFF"/>
        <w:tabs>
          <w:tab w:val="left" w:pos="851"/>
        </w:tabs>
        <w:spacing w:before="67"/>
        <w:ind w:left="426" w:right="5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uvolní jí </w:t>
      </w:r>
      <w:r w:rsidR="009F175F">
        <w:rPr>
          <w:rFonts w:ascii="Times New Roman" w:hAnsi="Times New Roman" w:cs="Times New Roman"/>
          <w:color w:val="000000"/>
          <w:sz w:val="22"/>
          <w:szCs w:val="22"/>
          <w:lang w:val="cs-CZ"/>
        </w:rPr>
        <w:t>náležející zajištění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dle vlastního uvážení, pokud hodnota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jí kupujícím či třetí osobou </w:t>
      </w:r>
      <w:r w:rsidR="00F7106E">
        <w:rPr>
          <w:rFonts w:ascii="Times New Roman" w:hAnsi="Times New Roman" w:cs="Times New Roman"/>
          <w:color w:val="000000"/>
          <w:sz w:val="22"/>
          <w:szCs w:val="22"/>
          <w:lang w:val="cs-CZ"/>
        </w:rPr>
        <w:t>poskytnutého zajištění</w:t>
      </w:r>
      <w:r w:rsidR="00F86E5E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proofErr w:type="gramStart"/>
      <w:r w:rsidR="00F7106E">
        <w:rPr>
          <w:rFonts w:ascii="Times New Roman" w:hAnsi="Times New Roman" w:cs="Times New Roman"/>
          <w:color w:val="000000"/>
          <w:sz w:val="22"/>
          <w:szCs w:val="22"/>
          <w:lang w:val="cs-CZ"/>
        </w:rPr>
        <w:t>převýší</w:t>
      </w:r>
      <w:proofErr w:type="gramEnd"/>
      <w:r w:rsidR="00F7106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pohledávky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vůči kupujícímu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 více než 10</w:t>
      </w:r>
      <w:r w:rsidR="00FB3B9B">
        <w:rPr>
          <w:rFonts w:ascii="Times New Roman" w:hAnsi="Times New Roman" w:cs="Times New Roman"/>
          <w:color w:val="000000"/>
          <w:sz w:val="22"/>
          <w:szCs w:val="22"/>
          <w:lang w:val="cs-CZ"/>
        </w:rPr>
        <w:t> 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%.</w:t>
      </w:r>
    </w:p>
    <w:p w14:paraId="3496CE6C" w14:textId="27C120AF" w:rsidR="000A6E5B" w:rsidRPr="00D130C5" w:rsidRDefault="00D074E5" w:rsidP="00031C8E">
      <w:pPr>
        <w:numPr>
          <w:ilvl w:val="0"/>
          <w:numId w:val="27"/>
        </w:numPr>
        <w:shd w:val="clear" w:color="auto" w:fill="FFFFFF"/>
        <w:spacing w:before="264"/>
        <w:ind w:left="426" w:hanging="426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Práva z vadného plnění</w:t>
      </w:r>
    </w:p>
    <w:p w14:paraId="1879D81C" w14:textId="6816B7BC" w:rsidR="000A6E5B" w:rsidRPr="00D130C5" w:rsidRDefault="002653FD">
      <w:pPr>
        <w:numPr>
          <w:ilvl w:val="0"/>
          <w:numId w:val="21"/>
        </w:numPr>
        <w:shd w:val="clear" w:color="auto" w:fill="FFFFFF"/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je povinen písemně vytknout zjevné vady </w:t>
      </w:r>
      <w:r w:rsidR="00D0153E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zboží </w:t>
      </w:r>
      <w:r w:rsidR="0069683B"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 w:rsidR="0069683B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69683B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nejpozději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EF4C2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do 14 dnů ode dne </w:t>
      </w:r>
      <w:r w:rsidR="0069683B">
        <w:rPr>
          <w:rFonts w:ascii="Times New Roman" w:hAnsi="Times New Roman" w:cs="Times New Roman"/>
          <w:color w:val="000000"/>
          <w:sz w:val="22"/>
          <w:szCs w:val="22"/>
          <w:lang w:val="cs-CZ"/>
        </w:rPr>
        <w:t>př</w:t>
      </w:r>
      <w:r w:rsidR="00B526F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echodu nebezpečí škody na </w:t>
      </w:r>
      <w:r w:rsidR="00EF4C24">
        <w:rPr>
          <w:rFonts w:ascii="Times New Roman" w:hAnsi="Times New Roman" w:cs="Times New Roman"/>
          <w:color w:val="000000"/>
          <w:sz w:val="22"/>
          <w:szCs w:val="22"/>
          <w:lang w:val="cs-CZ"/>
        </w:rPr>
        <w:t>zboží</w:t>
      </w:r>
      <w:r w:rsidR="0069683B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(čl. </w:t>
      </w:r>
      <w:r w:rsidR="00355449">
        <w:rPr>
          <w:rFonts w:ascii="Times New Roman" w:hAnsi="Times New Roman" w:cs="Times New Roman"/>
          <w:color w:val="000000"/>
          <w:sz w:val="22"/>
          <w:szCs w:val="22"/>
          <w:lang w:val="cs-CZ"/>
        </w:rPr>
        <w:t>5</w:t>
      </w:r>
      <w:r w:rsidR="0069683B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písm. a) věta druhá těchto VOP)</w:t>
      </w:r>
      <w:r w:rsidR="00933B9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; k zachování práv z vadného plnění </w:t>
      </w:r>
      <w:r w:rsidR="00D91392">
        <w:rPr>
          <w:rFonts w:ascii="Times New Roman" w:hAnsi="Times New Roman" w:cs="Times New Roman"/>
          <w:color w:val="000000"/>
          <w:sz w:val="22"/>
          <w:szCs w:val="22"/>
          <w:lang w:val="cs-CZ"/>
        </w:rPr>
        <w:t>je třeba, aby</w:t>
      </w:r>
      <w:r w:rsidR="00933B9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písemné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vytknutí vad </w:t>
      </w:r>
      <w:r w:rsidR="00D91392">
        <w:rPr>
          <w:rFonts w:ascii="Times New Roman" w:hAnsi="Times New Roman" w:cs="Times New Roman"/>
          <w:color w:val="000000"/>
          <w:sz w:val="22"/>
          <w:szCs w:val="22"/>
          <w:lang w:val="cs-CZ"/>
        </w:rPr>
        <w:t>bylo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 uvedené lhůtě doručeno</w:t>
      </w:r>
      <w:r w:rsidR="00EF4C2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Skryté vady </w:t>
      </w:r>
      <w:r w:rsidR="0063113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zboží 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</w:t>
      </w:r>
      <w:r w:rsidR="00631134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</w:t>
      </w:r>
      <w:r w:rsidR="007D081F">
        <w:rPr>
          <w:rFonts w:ascii="Times New Roman" w:hAnsi="Times New Roman" w:cs="Times New Roman"/>
          <w:color w:val="000000"/>
          <w:sz w:val="22"/>
          <w:szCs w:val="22"/>
          <w:lang w:val="cs-CZ"/>
        </w:rPr>
        <w:t>í</w:t>
      </w:r>
      <w:r w:rsidR="0063113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povinen </w:t>
      </w:r>
      <w:r w:rsidR="00BF0E4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písemně </w:t>
      </w:r>
      <w:r w:rsidR="00631134">
        <w:rPr>
          <w:rFonts w:ascii="Times New Roman" w:hAnsi="Times New Roman" w:cs="Times New Roman"/>
          <w:color w:val="000000"/>
          <w:sz w:val="22"/>
          <w:szCs w:val="22"/>
          <w:lang w:val="cs-CZ"/>
        </w:rPr>
        <w:t>vytknout</w:t>
      </w:r>
      <w:r w:rsidR="00B526F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B526F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63113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24352F">
        <w:rPr>
          <w:rFonts w:ascii="Times New Roman" w:hAnsi="Times New Roman" w:cs="Times New Roman"/>
          <w:color w:val="000000"/>
          <w:sz w:val="22"/>
          <w:szCs w:val="22"/>
          <w:lang w:val="cs-CZ"/>
        </w:rPr>
        <w:t>nejpozději do 14 dnů od jejich zjišt</w:t>
      </w:r>
      <w:r w:rsidR="00B526F6">
        <w:rPr>
          <w:rFonts w:ascii="Times New Roman" w:hAnsi="Times New Roman" w:cs="Times New Roman"/>
          <w:color w:val="000000"/>
          <w:sz w:val="22"/>
          <w:szCs w:val="22"/>
          <w:lang w:val="cs-CZ"/>
        </w:rPr>
        <w:t>ění</w:t>
      </w:r>
      <w:r w:rsidR="000260C1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 w:rsidR="001D5B4C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nejpozději však do šesti měsíců ode dne přechodu nebezpečí škody na zboží (čl. 5 písm. a) věta druhá těchto VOP)</w:t>
      </w:r>
      <w:r w:rsidR="00B526F6">
        <w:rPr>
          <w:rFonts w:ascii="Times New Roman" w:hAnsi="Times New Roman" w:cs="Times New Roman"/>
          <w:color w:val="000000"/>
          <w:sz w:val="22"/>
          <w:szCs w:val="22"/>
          <w:lang w:val="cs-CZ"/>
        </w:rPr>
        <w:t>; ustanovení předchozí věty část</w:t>
      </w:r>
      <w:r w:rsidR="0024352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za středníkem platí obdobně. 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Není-li </w:t>
      </w:r>
      <w:r w:rsidR="002573DE">
        <w:rPr>
          <w:rFonts w:ascii="Times New Roman" w:hAnsi="Times New Roman" w:cs="Times New Roman"/>
          <w:color w:val="000000"/>
          <w:sz w:val="22"/>
          <w:szCs w:val="22"/>
          <w:lang w:val="cs-CZ"/>
        </w:rPr>
        <w:t>vytknutí vad učiněno</w:t>
      </w:r>
      <w:r w:rsidR="0066568C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včas, </w:t>
      </w:r>
      <w:r w:rsidR="0081115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platí, že zboží bylo dodáno v souladu se smlouvou. </w:t>
      </w:r>
    </w:p>
    <w:p w14:paraId="1564599B" w14:textId="19D23A22" w:rsidR="000A6E5B" w:rsidRPr="00D130C5" w:rsidRDefault="0026786F">
      <w:pPr>
        <w:numPr>
          <w:ilvl w:val="0"/>
          <w:numId w:val="21"/>
        </w:numPr>
        <w:shd w:val="clear" w:color="auto" w:fill="FFFFFF"/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 případě </w:t>
      </w:r>
      <w:r w:rsidR="00844E21">
        <w:rPr>
          <w:rFonts w:ascii="Times New Roman" w:hAnsi="Times New Roman" w:cs="Times New Roman"/>
          <w:color w:val="000000"/>
          <w:sz w:val="22"/>
          <w:szCs w:val="22"/>
          <w:lang w:val="cs-CZ"/>
        </w:rPr>
        <w:t>vytknutí faktických vad</w:t>
      </w:r>
      <w:r w:rsidR="007E7F6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ať zjevných či skrytých, je kupující </w:t>
      </w:r>
      <w:r w:rsidR="001A3DB7">
        <w:rPr>
          <w:rFonts w:ascii="Times New Roman" w:hAnsi="Times New Roman" w:cs="Times New Roman"/>
          <w:color w:val="000000"/>
          <w:sz w:val="22"/>
          <w:szCs w:val="22"/>
          <w:lang w:val="cs-CZ"/>
        </w:rPr>
        <w:t>povinen</w:t>
      </w:r>
      <w:r w:rsidR="007E7F6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C03EC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C03EC0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spolu</w:t>
      </w:r>
      <w:r w:rsidR="007E7F6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 písemným vytknutím vad doručit alespoň jeden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vzor</w:t>
      </w:r>
      <w:r w:rsidR="007E7F63">
        <w:rPr>
          <w:rFonts w:ascii="Times New Roman" w:hAnsi="Times New Roman" w:cs="Times New Roman"/>
          <w:color w:val="000000"/>
          <w:sz w:val="22"/>
          <w:szCs w:val="22"/>
          <w:lang w:val="cs-CZ"/>
        </w:rPr>
        <w:t>e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k</w:t>
      </w:r>
      <w:r w:rsidR="007E7F6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tvrzeného vadného zboží; v opačném případě </w:t>
      </w:r>
      <w:r w:rsidR="00761242">
        <w:rPr>
          <w:rFonts w:ascii="Times New Roman" w:hAnsi="Times New Roman" w:cs="Times New Roman"/>
          <w:color w:val="000000"/>
          <w:sz w:val="22"/>
          <w:szCs w:val="22"/>
          <w:lang w:val="cs-CZ"/>
        </w:rPr>
        <w:t>nelze oprávněnost reklamace uznat.</w:t>
      </w:r>
      <w:r w:rsidR="007E7F63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</w:p>
    <w:p w14:paraId="2F9A4094" w14:textId="0FC63BF8" w:rsidR="00F14AB4" w:rsidRPr="00F14AB4" w:rsidRDefault="00091E8E">
      <w:pPr>
        <w:numPr>
          <w:ilvl w:val="0"/>
          <w:numId w:val="21"/>
        </w:numPr>
        <w:shd w:val="clear" w:color="auto" w:fill="FFFFFF"/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Čeho kupující může dosáhnout uplatněním práv z vadného plnění, nemůže se vůči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domáhat z jiného právního důvodu, zejm. z titulu náhrady škody </w:t>
      </w:r>
      <w:r w:rsidR="004A7AA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 důsledku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použití nebo zpracování dodaného vadného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zboží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</w:p>
    <w:p w14:paraId="57E16A88" w14:textId="77777777" w:rsidR="00F14AB4" w:rsidRPr="00F14AB4" w:rsidRDefault="00F14AB4">
      <w:pPr>
        <w:numPr>
          <w:ilvl w:val="0"/>
          <w:numId w:val="21"/>
        </w:numPr>
        <w:shd w:val="clear" w:color="auto" w:fill="FFFFFF"/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 případě vadného plnění má kupující právo: </w:t>
      </w:r>
    </w:p>
    <w:p w14:paraId="0582394C" w14:textId="77777777" w:rsidR="00F14AB4" w:rsidRPr="00215A24" w:rsidRDefault="00F14AB4" w:rsidP="00F14AB4">
      <w:pPr>
        <w:pStyle w:val="Odstavecseseznamem"/>
        <w:numPr>
          <w:ilvl w:val="0"/>
          <w:numId w:val="24"/>
        </w:numPr>
        <w:shd w:val="clear" w:color="auto" w:fill="FFFFFF"/>
        <w:spacing w:before="67"/>
        <w:ind w:right="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na odstranění vady dodáním nového zboží bez vady nebo dodáním chybějícího zboží,</w:t>
      </w:r>
    </w:p>
    <w:p w14:paraId="2BA5105E" w14:textId="2CD036ED" w:rsidR="00F14AB4" w:rsidRPr="00215A24" w:rsidRDefault="00F14AB4" w:rsidP="00F14AB4">
      <w:pPr>
        <w:pStyle w:val="Odstavecseseznamem"/>
        <w:numPr>
          <w:ilvl w:val="0"/>
          <w:numId w:val="24"/>
        </w:numPr>
        <w:shd w:val="clear" w:color="auto" w:fill="FFFFFF"/>
        <w:spacing w:before="67"/>
        <w:ind w:right="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na přiměřenou slevu z </w:t>
      </w:r>
      <w:r w:rsidR="00FD3A0D">
        <w:rPr>
          <w:rFonts w:ascii="Times New Roman" w:hAnsi="Times New Roman" w:cs="Times New Roman"/>
          <w:color w:val="000000"/>
          <w:sz w:val="22"/>
          <w:szCs w:val="22"/>
          <w:lang w:val="cs-CZ"/>
        </w:rPr>
        <w:t>C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eny, nebo</w:t>
      </w:r>
    </w:p>
    <w:p w14:paraId="45301C33" w14:textId="77777777" w:rsidR="00F14AB4" w:rsidRPr="00F14AB4" w:rsidRDefault="00F14AB4" w:rsidP="00F14AB4">
      <w:pPr>
        <w:pStyle w:val="Odstavecseseznamem"/>
        <w:numPr>
          <w:ilvl w:val="0"/>
          <w:numId w:val="24"/>
        </w:numPr>
        <w:shd w:val="clear" w:color="auto" w:fill="FFFFFF"/>
        <w:spacing w:before="67"/>
        <w:ind w:right="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odstoupit od smlouvy. </w:t>
      </w:r>
    </w:p>
    <w:p w14:paraId="45CE41F6" w14:textId="3EAE7912" w:rsidR="000A6E5B" w:rsidRPr="00F14AB4" w:rsidRDefault="00F14AB4" w:rsidP="00F14AB4">
      <w:pPr>
        <w:shd w:val="clear" w:color="auto" w:fill="FFFFFF"/>
        <w:spacing w:before="67"/>
        <w:ind w:left="426" w:right="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 sdělí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, jaké právo si zvolil, při vytknutí vady. Proved</w:t>
      </w:r>
      <w:r w:rsidR="00DF7BA0">
        <w:rPr>
          <w:rFonts w:ascii="Times New Roman" w:hAnsi="Times New Roman" w:cs="Times New Roman"/>
          <w:color w:val="000000"/>
          <w:sz w:val="22"/>
          <w:szCs w:val="22"/>
          <w:lang w:val="cs-CZ"/>
        </w:rPr>
        <w:t>en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ou volbu nemůže kupující změnit bez souhlasu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B97F77">
        <w:rPr>
          <w:rFonts w:ascii="Times New Roman" w:hAnsi="Times New Roman" w:cs="Times New Roman"/>
          <w:color w:val="000000"/>
          <w:sz w:val="22"/>
          <w:szCs w:val="22"/>
          <w:lang w:val="cs-CZ"/>
        </w:rPr>
        <w:t>Neprovede-li kupující volbu či ji neprovede včas, přísluší HET-</w:t>
      </w:r>
      <w:proofErr w:type="spellStart"/>
      <w:r w:rsidR="00B97F77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volba</w:t>
      </w:r>
      <w:r w:rsidR="00B97F7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zda jinak oprávněně a řádně vytknutou vadu odstraní dodáním nového zboží bez vady nebo dodáním chybějícího zboží či zda kupujícímu poskytne přiměřenou slevu z Ceny. </w:t>
      </w:r>
      <w:r w:rsidR="00215A24">
        <w:rPr>
          <w:rFonts w:ascii="Times New Roman" w:hAnsi="Times New Roman" w:cs="Times New Roman"/>
          <w:sz w:val="22"/>
          <w:szCs w:val="22"/>
          <w:lang w:val="cs-CZ"/>
        </w:rPr>
        <w:t>Práva z vadného plnění přísluší</w:t>
      </w:r>
      <w:r w:rsidR="00215A24" w:rsidRPr="00E80E37">
        <w:rPr>
          <w:rFonts w:ascii="Times New Roman" w:hAnsi="Times New Roman" w:cs="Times New Roman"/>
          <w:sz w:val="22"/>
          <w:szCs w:val="22"/>
          <w:lang w:val="cs-CZ"/>
        </w:rPr>
        <w:t xml:space="preserve"> výhradně </w:t>
      </w:r>
      <w:r w:rsidR="00215A24">
        <w:rPr>
          <w:rFonts w:ascii="Times New Roman" w:hAnsi="Times New Roman" w:cs="Times New Roman"/>
          <w:sz w:val="22"/>
          <w:szCs w:val="22"/>
          <w:lang w:val="cs-CZ"/>
        </w:rPr>
        <w:t>kupujícímu</w:t>
      </w:r>
      <w:r w:rsidR="00215A24" w:rsidRPr="00E80E37">
        <w:rPr>
          <w:rFonts w:ascii="Times New Roman" w:hAnsi="Times New Roman" w:cs="Times New Roman"/>
          <w:sz w:val="22"/>
          <w:szCs w:val="22"/>
          <w:lang w:val="cs-CZ"/>
        </w:rPr>
        <w:t>, který není oprávněn t</w:t>
      </w:r>
      <w:r w:rsidR="00215A24">
        <w:rPr>
          <w:rFonts w:ascii="Times New Roman" w:hAnsi="Times New Roman" w:cs="Times New Roman"/>
          <w:sz w:val="22"/>
          <w:szCs w:val="22"/>
          <w:lang w:val="cs-CZ"/>
        </w:rPr>
        <w:t>ato práva</w:t>
      </w:r>
      <w:r w:rsidR="00215A24" w:rsidRPr="00E80E37">
        <w:rPr>
          <w:rFonts w:ascii="Times New Roman" w:hAnsi="Times New Roman" w:cs="Times New Roman"/>
          <w:sz w:val="22"/>
          <w:szCs w:val="22"/>
          <w:lang w:val="cs-CZ"/>
        </w:rPr>
        <w:t xml:space="preserve"> pře</w:t>
      </w:r>
      <w:r w:rsidR="00215A24">
        <w:rPr>
          <w:rFonts w:ascii="Times New Roman" w:hAnsi="Times New Roman" w:cs="Times New Roman"/>
          <w:sz w:val="22"/>
          <w:szCs w:val="22"/>
          <w:lang w:val="cs-CZ"/>
        </w:rPr>
        <w:t xml:space="preserve">vést </w:t>
      </w:r>
      <w:r w:rsidR="00215A24" w:rsidRPr="00E80E37">
        <w:rPr>
          <w:rFonts w:ascii="Times New Roman" w:hAnsi="Times New Roman" w:cs="Times New Roman"/>
          <w:sz w:val="22"/>
          <w:szCs w:val="22"/>
          <w:lang w:val="cs-CZ"/>
        </w:rPr>
        <w:t xml:space="preserve">na třetí osobu bez předchozího písemného souhlasu </w:t>
      </w:r>
      <w:r w:rsidR="00215A24">
        <w:rPr>
          <w:rFonts w:ascii="Times New Roman" w:hAnsi="Times New Roman" w:cs="Times New Roman"/>
          <w:sz w:val="22"/>
          <w:szCs w:val="22"/>
          <w:lang w:val="cs-CZ"/>
        </w:rPr>
        <w:t>HET-</w:t>
      </w:r>
      <w:proofErr w:type="spellStart"/>
      <w:r w:rsidR="00215A24"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 w:rsidR="00215A24">
        <w:rPr>
          <w:rFonts w:ascii="Times New Roman" w:hAnsi="Times New Roman" w:cs="Times New Roman"/>
          <w:sz w:val="22"/>
          <w:szCs w:val="22"/>
          <w:lang w:val="cs-CZ"/>
        </w:rPr>
        <w:t xml:space="preserve">. </w:t>
      </w:r>
      <w:r w:rsidR="0026786F" w:rsidRPr="00F14AB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Uplatnění </w:t>
      </w:r>
      <w:r w:rsidR="00F86E5E" w:rsidRPr="00F14AB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zadržovacího práva </w:t>
      </w:r>
      <w:r w:rsid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kupujícím </w:t>
      </w:r>
      <w:r w:rsidR="00784A43" w:rsidRPr="00F14AB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započtení </w:t>
      </w:r>
      <w:proofErr w:type="gramStart"/>
      <w:r w:rsidR="00784A43" w:rsidRPr="00F14AB4">
        <w:rPr>
          <w:rFonts w:ascii="Times New Roman" w:hAnsi="Times New Roman" w:cs="Times New Roman"/>
          <w:color w:val="000000"/>
          <w:sz w:val="22"/>
          <w:szCs w:val="22"/>
          <w:lang w:val="cs-CZ"/>
        </w:rPr>
        <w:t>s</w:t>
      </w:r>
      <w:r w:rsid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  </w:t>
      </w:r>
      <w:r w:rsidR="00784A43" w:rsidRPr="00F14AB4">
        <w:rPr>
          <w:rFonts w:ascii="Times New Roman" w:hAnsi="Times New Roman" w:cs="Times New Roman"/>
          <w:color w:val="000000"/>
          <w:sz w:val="22"/>
          <w:szCs w:val="22"/>
          <w:lang w:val="cs-CZ"/>
        </w:rPr>
        <w:t>nároky</w:t>
      </w:r>
      <w:proofErr w:type="gramEnd"/>
      <w:r w:rsidR="00784A43" w:rsidRPr="00F14AB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kupujícího </w:t>
      </w:r>
      <w:r w:rsidR="0026786F" w:rsidRPr="00F14AB4">
        <w:rPr>
          <w:rFonts w:ascii="Times New Roman" w:hAnsi="Times New Roman" w:cs="Times New Roman"/>
          <w:color w:val="000000"/>
          <w:sz w:val="22"/>
          <w:szCs w:val="22"/>
          <w:lang w:val="cs-CZ"/>
        </w:rPr>
        <w:t>ze smlouvy je vyloučeno.</w:t>
      </w:r>
    </w:p>
    <w:p w14:paraId="2AC51F4C" w14:textId="23DEE0F5" w:rsidR="000A6E5B" w:rsidRPr="001D67A0" w:rsidRDefault="00F14AB4" w:rsidP="001D67A0">
      <w:pPr>
        <w:numPr>
          <w:ilvl w:val="0"/>
          <w:numId w:val="21"/>
        </w:numPr>
        <w:shd w:val="clear" w:color="auto" w:fill="FFFFFF"/>
        <w:spacing w:before="67"/>
        <w:ind w:left="426" w:right="5" w:hanging="426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nemá práva z vadného plnění v případě, </w:t>
      </w:r>
      <w:r w:rsid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že </w:t>
      </w:r>
      <w:r w:rsidR="00F86E5E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kupující </w:t>
      </w:r>
      <w:r w:rsidR="0026786F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odstraní </w:t>
      </w:r>
      <w:r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jím </w:t>
      </w:r>
      <w:r w:rsidR="000466F0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tvrzené </w:t>
      </w:r>
      <w:r w:rsidR="00F86E5E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vady </w:t>
      </w:r>
      <w:r w:rsidR="0026786F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sám nebo </w:t>
      </w:r>
      <w:r w:rsidR="00F86E5E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>je nechá</w:t>
      </w:r>
      <w:r w:rsidR="0026786F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odstranit třetími osobami </w:t>
      </w:r>
      <w:r w:rsidR="00EA3B11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bez písemného </w:t>
      </w:r>
      <w:r w:rsidR="0026786F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>souhlasu</w:t>
      </w:r>
      <w:r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HET-</w:t>
      </w:r>
      <w:proofErr w:type="spellStart"/>
      <w:r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26786F" w:rsidRPr="001D67A0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7A4A6FDE" w14:textId="24D7D403" w:rsidR="00E80E37" w:rsidRPr="00E80E37" w:rsidRDefault="00E80E37" w:rsidP="00215A24">
      <w:pPr>
        <w:pStyle w:val="Odstavecseseznamem"/>
        <w:numPr>
          <w:ilvl w:val="0"/>
          <w:numId w:val="21"/>
        </w:numPr>
        <w:shd w:val="clear" w:color="auto" w:fill="FFFFFF"/>
        <w:spacing w:before="10"/>
        <w:ind w:left="426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80E37">
        <w:rPr>
          <w:rFonts w:ascii="Times New Roman" w:hAnsi="Times New Roman" w:cs="Times New Roman"/>
          <w:sz w:val="22"/>
          <w:szCs w:val="22"/>
          <w:lang w:val="cs-CZ"/>
        </w:rPr>
        <w:t>Vešker</w:t>
      </w:r>
      <w:r>
        <w:rPr>
          <w:rFonts w:ascii="Times New Roman" w:hAnsi="Times New Roman" w:cs="Times New Roman"/>
          <w:sz w:val="22"/>
          <w:szCs w:val="22"/>
          <w:lang w:val="cs-CZ"/>
        </w:rPr>
        <w:t>á</w:t>
      </w:r>
      <w:r w:rsidRPr="00E80E37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cs-CZ"/>
        </w:rPr>
        <w:t>práva</w:t>
      </w:r>
      <w:r w:rsidRPr="00E80E37">
        <w:rPr>
          <w:rFonts w:ascii="Times New Roman" w:hAnsi="Times New Roman" w:cs="Times New Roman"/>
          <w:sz w:val="22"/>
          <w:szCs w:val="22"/>
          <w:lang w:val="cs-CZ"/>
        </w:rPr>
        <w:t xml:space="preserve"> z vadného plnění zanikají v případě, že </w:t>
      </w:r>
      <w:r>
        <w:rPr>
          <w:rFonts w:ascii="Times New Roman" w:hAnsi="Times New Roman" w:cs="Times New Roman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sz w:val="22"/>
          <w:szCs w:val="22"/>
          <w:lang w:val="cs-CZ"/>
        </w:rPr>
        <w:t xml:space="preserve"> dodané zboží </w:t>
      </w:r>
      <w:r w:rsidRPr="00E80E37">
        <w:rPr>
          <w:rFonts w:ascii="Times New Roman" w:hAnsi="Times New Roman" w:cs="Times New Roman"/>
          <w:sz w:val="22"/>
          <w:szCs w:val="22"/>
          <w:lang w:val="cs-CZ"/>
        </w:rPr>
        <w:t xml:space="preserve">bylo zničeno, zpracováno či jinak přetvořeno z důvodů na straně </w:t>
      </w:r>
      <w:r w:rsidR="00215A24">
        <w:rPr>
          <w:rFonts w:ascii="Times New Roman" w:hAnsi="Times New Roman" w:cs="Times New Roman"/>
          <w:sz w:val="22"/>
          <w:szCs w:val="22"/>
          <w:lang w:val="cs-CZ"/>
        </w:rPr>
        <w:t>kupujícího.</w:t>
      </w:r>
    </w:p>
    <w:p w14:paraId="674E72CF" w14:textId="2876BDF8" w:rsidR="00851EF1" w:rsidRPr="005E51A6" w:rsidRDefault="009641E8" w:rsidP="00851EF1">
      <w:pPr>
        <w:numPr>
          <w:ilvl w:val="0"/>
          <w:numId w:val="21"/>
        </w:numPr>
        <w:shd w:val="clear" w:color="auto" w:fill="FFFFFF"/>
        <w:spacing w:before="67"/>
        <w:ind w:left="426" w:right="5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Ú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stní i písemné </w:t>
      </w:r>
      <w:r w:rsidR="00407B21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uživatelské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poradenství</w:t>
      </w:r>
      <w:r w:rsidR="00407B21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poskytované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nezávazné a nezbavuje </w:t>
      </w:r>
      <w:r w:rsidR="00CF2C68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</w:t>
      </w:r>
      <w:r w:rsidR="00B97F77">
        <w:rPr>
          <w:rFonts w:ascii="Times New Roman" w:hAnsi="Times New Roman" w:cs="Times New Roman"/>
          <w:color w:val="000000"/>
          <w:sz w:val="22"/>
          <w:szCs w:val="22"/>
          <w:lang w:val="cs-CZ"/>
        </w:rPr>
        <w:t>ho</w:t>
      </w:r>
      <w:r w:rsidR="009718ED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9718ED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to </w:t>
      </w:r>
      <w:r w:rsidR="008E4B5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i </w:t>
      </w:r>
      <w:r w:rsidR="009718ED">
        <w:rPr>
          <w:rFonts w:ascii="Times New Roman" w:hAnsi="Times New Roman" w:cs="Times New Roman"/>
          <w:color w:val="000000"/>
          <w:sz w:val="22"/>
          <w:szCs w:val="22"/>
          <w:lang w:val="cs-CZ"/>
        </w:rPr>
        <w:t>ve vztahu k</w:t>
      </w:r>
      <w:r w:rsidR="009718ED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případn</w:t>
      </w:r>
      <w:r w:rsidR="009718ED">
        <w:rPr>
          <w:rFonts w:ascii="Times New Roman" w:hAnsi="Times New Roman" w:cs="Times New Roman"/>
          <w:color w:val="000000"/>
          <w:sz w:val="22"/>
          <w:szCs w:val="22"/>
          <w:lang w:val="cs-CZ"/>
        </w:rPr>
        <w:t>ým</w:t>
      </w:r>
      <w:r w:rsidR="009718ED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práv</w:t>
      </w:r>
      <w:r w:rsidR="009718ED">
        <w:rPr>
          <w:rFonts w:ascii="Times New Roman" w:hAnsi="Times New Roman" w:cs="Times New Roman"/>
          <w:color w:val="000000"/>
          <w:sz w:val="22"/>
          <w:szCs w:val="22"/>
          <w:lang w:val="cs-CZ"/>
        </w:rPr>
        <w:t>ům třetích osob</w:t>
      </w:r>
      <w:r w:rsidR="009718ED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,</w:t>
      </w:r>
      <w:r w:rsidR="009718ED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povinnosti vlastního </w:t>
      </w:r>
      <w:r w:rsidR="00BE4EBF">
        <w:rPr>
          <w:rFonts w:ascii="Times New Roman" w:hAnsi="Times New Roman" w:cs="Times New Roman"/>
          <w:color w:val="000000"/>
          <w:sz w:val="22"/>
          <w:szCs w:val="22"/>
          <w:lang w:val="cs-CZ"/>
        </w:rPr>
        <w:t>prověření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CF2C68">
        <w:rPr>
          <w:rFonts w:ascii="Times New Roman" w:hAnsi="Times New Roman" w:cs="Times New Roman"/>
          <w:color w:val="000000"/>
          <w:sz w:val="22"/>
          <w:szCs w:val="22"/>
          <w:lang w:val="cs-CZ"/>
        </w:rPr>
        <w:t>zboží HET-</w:t>
      </w:r>
      <w:proofErr w:type="spellStart"/>
      <w:r w:rsidR="00CF2C68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CF2C6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 hlediska </w:t>
      </w:r>
      <w:r w:rsidR="00CF2C68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je</w:t>
      </w:r>
      <w:r w:rsidR="00CF2C68">
        <w:rPr>
          <w:rFonts w:ascii="Times New Roman" w:hAnsi="Times New Roman" w:cs="Times New Roman"/>
          <w:color w:val="000000"/>
          <w:sz w:val="22"/>
          <w:szCs w:val="22"/>
          <w:lang w:val="cs-CZ"/>
        </w:rPr>
        <w:t>ho</w:t>
      </w:r>
      <w:r w:rsidR="00CF2C68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vhodnosti pro </w:t>
      </w:r>
      <w:r w:rsidR="009718ED">
        <w:rPr>
          <w:rFonts w:ascii="Times New Roman" w:hAnsi="Times New Roman" w:cs="Times New Roman"/>
          <w:color w:val="000000"/>
          <w:sz w:val="22"/>
          <w:szCs w:val="22"/>
          <w:lang w:val="cs-CZ"/>
        </w:rPr>
        <w:t>kupujícím</w:t>
      </w:r>
      <w:r w:rsidR="00CF2C68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a/nebo třetí osobou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zamýšlen</w:t>
      </w:r>
      <w:r w:rsidR="008E4B5F">
        <w:rPr>
          <w:rFonts w:ascii="Times New Roman" w:hAnsi="Times New Roman" w:cs="Times New Roman"/>
          <w:color w:val="000000"/>
          <w:sz w:val="22"/>
          <w:szCs w:val="22"/>
          <w:lang w:val="cs-CZ"/>
        </w:rPr>
        <w:t>ého</w:t>
      </w:r>
      <w:r w:rsidR="00B97F7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účel</w:t>
      </w:r>
      <w:r w:rsidR="008E4B5F">
        <w:rPr>
          <w:rFonts w:ascii="Times New Roman" w:hAnsi="Times New Roman" w:cs="Times New Roman"/>
          <w:color w:val="000000"/>
          <w:sz w:val="22"/>
          <w:szCs w:val="22"/>
          <w:lang w:val="cs-CZ"/>
        </w:rPr>
        <w:t>u</w:t>
      </w:r>
      <w:r w:rsidR="00B97F77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="00CF2C68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>Pokud by</w:t>
      </w:r>
      <w:r w:rsidR="008E4B5F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v důsledku zvláštního ujednání mezi HET-</w:t>
      </w:r>
      <w:proofErr w:type="spellStart"/>
      <w:r w:rsidR="008E4B5F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8E4B5F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 kupujícím </w:t>
      </w:r>
      <w:r w:rsidR="00CF2C68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byla </w:t>
      </w:r>
      <w:r w:rsidR="008E4B5F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 případech dle předchozí věty </w:t>
      </w:r>
      <w:r w:rsidR="00CF2C68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>založena odpovědnost HET-</w:t>
      </w:r>
      <w:proofErr w:type="spellStart"/>
      <w:r w:rsidR="00CF2C68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C87D36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za škodu</w:t>
      </w:r>
      <w:r w:rsidR="00CF2C68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, je omezena jen do </w:t>
      </w:r>
      <w:r w:rsidR="009718ED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té výše, která by jako přiměřená sleva z ceny příslušela z vadného plnění. Kupující </w:t>
      </w:r>
      <w:r w:rsidR="00CF2EAC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je odpovědný za dodržování </w:t>
      </w:r>
      <w:r w:rsidR="009718ED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právních předpisů a případných správních rozhodnutí </w:t>
      </w:r>
      <w:r w:rsidR="00851EF1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platných </w:t>
      </w:r>
      <w:r w:rsidR="00851EF1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lastRenderedPageBreak/>
        <w:t xml:space="preserve">pro používání </w:t>
      </w:r>
      <w:r w:rsidR="009718ED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>zboží HET-</w:t>
      </w:r>
      <w:proofErr w:type="spellStart"/>
      <w:r w:rsidR="009718ED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9718ED" w:rsidRPr="005E51A6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</w:p>
    <w:p w14:paraId="479764FD" w14:textId="53027206" w:rsidR="000A6E5B" w:rsidRPr="00D130C5" w:rsidRDefault="0026786F" w:rsidP="00031C8E">
      <w:pPr>
        <w:numPr>
          <w:ilvl w:val="0"/>
          <w:numId w:val="27"/>
        </w:numPr>
        <w:shd w:val="clear" w:color="auto" w:fill="FFFFFF"/>
        <w:spacing w:before="264"/>
        <w:ind w:left="426" w:hanging="426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>Odpovědnost</w:t>
      </w:r>
      <w:r w:rsidR="00F80D8B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 xml:space="preserve"> za škodu</w:t>
      </w:r>
    </w:p>
    <w:p w14:paraId="160A0612" w14:textId="671A8B24" w:rsidR="00851EF1" w:rsidRDefault="00E86B4E" w:rsidP="00851EF1">
      <w:pPr>
        <w:numPr>
          <w:ilvl w:val="0"/>
          <w:numId w:val="7"/>
        </w:numPr>
        <w:shd w:val="clear" w:color="auto" w:fill="FFFFFF"/>
        <w:tabs>
          <w:tab w:val="left" w:pos="149"/>
        </w:tabs>
        <w:spacing w:before="67"/>
        <w:ind w:left="426" w:right="86" w:hanging="426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odpovídá </w:t>
      </w:r>
      <w:r w:rsidR="0042168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pouze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za </w:t>
      </w:r>
      <w:r w:rsidR="0042168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takovou 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škodu</w:t>
      </w:r>
      <w:r w:rsidR="0042168F">
        <w:rPr>
          <w:rFonts w:ascii="Times New Roman" w:hAnsi="Times New Roman" w:cs="Times New Roman"/>
          <w:color w:val="000000"/>
          <w:sz w:val="22"/>
          <w:szCs w:val="22"/>
          <w:lang w:val="cs-CZ"/>
        </w:rPr>
        <w:t>, kterou způsobily osoby oprávněné k jednání za HET-</w:t>
      </w:r>
      <w:proofErr w:type="spellStart"/>
      <w:r w:rsidR="0042168F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42168F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úmyslně nebo z hrubé nedbalosti. </w:t>
      </w:r>
      <w:r w:rsidR="00FD7D15">
        <w:rPr>
          <w:rFonts w:ascii="Times New Roman" w:hAnsi="Times New Roman" w:cs="Times New Roman"/>
          <w:color w:val="000000"/>
          <w:sz w:val="22"/>
          <w:szCs w:val="22"/>
          <w:lang w:val="cs-CZ"/>
        </w:rPr>
        <w:t>Ustanovení předchozí věty platí i pro nepřímé</w:t>
      </w:r>
      <w:r w:rsidR="0013630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škody, </w:t>
      </w:r>
      <w:r w:rsidR="00FD7D15">
        <w:rPr>
          <w:rFonts w:ascii="Times New Roman" w:hAnsi="Times New Roman" w:cs="Times New Roman"/>
          <w:color w:val="000000"/>
          <w:sz w:val="22"/>
          <w:szCs w:val="22"/>
          <w:lang w:val="cs-CZ"/>
        </w:rPr>
        <w:t>následné škody</w:t>
      </w:r>
      <w:r w:rsidR="00136304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a/nebo ušlý zisk</w:t>
      </w:r>
      <w:r w:rsidR="00FD7D15">
        <w:rPr>
          <w:rFonts w:ascii="Times New Roman" w:hAnsi="Times New Roman" w:cs="Times New Roman"/>
          <w:color w:val="000000"/>
          <w:sz w:val="22"/>
          <w:szCs w:val="22"/>
          <w:lang w:val="cs-CZ"/>
        </w:rPr>
        <w:t>.</w:t>
      </w:r>
      <w:r w:rsidR="00851EF1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</w:p>
    <w:p w14:paraId="79F9DE90" w14:textId="18288290" w:rsidR="005F14CF" w:rsidRPr="00D130C5" w:rsidRDefault="005F14CF" w:rsidP="00851EF1">
      <w:pPr>
        <w:numPr>
          <w:ilvl w:val="0"/>
          <w:numId w:val="7"/>
        </w:numPr>
        <w:shd w:val="clear" w:color="auto" w:fill="FFFFFF"/>
        <w:tabs>
          <w:tab w:val="left" w:pos="149"/>
        </w:tabs>
        <w:spacing w:before="67"/>
        <w:ind w:left="426" w:right="86" w:hanging="426"/>
        <w:jc w:val="both"/>
        <w:rPr>
          <w:rFonts w:ascii="Times New Roman" w:hAnsi="Times New Roman" w:cs="Times New Roman"/>
          <w:color w:val="000000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Ujednají-li kupující a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 w:rsidR="00094999">
        <w:rPr>
          <w:rFonts w:ascii="Times New Roman" w:hAnsi="Times New Roman" w:cs="Times New Roman"/>
          <w:color w:val="000000"/>
          <w:sz w:val="22"/>
          <w:szCs w:val="22"/>
          <w:lang w:val="cs-CZ"/>
        </w:rPr>
        <w:t>odchylně od VOP, že HET-</w:t>
      </w:r>
      <w:proofErr w:type="spellStart"/>
      <w:r w:rsidR="00094999"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 w:rsidR="0009499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odpovídá i za jinou škodu, než která byla způsobena úmyslně nebo z hrubé nedbalosti, a sjednají-li pro případ porušení příslušné povinnosti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ze strany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smluvní pokutu, nepřísluší kupujícímu právo na náhradu škody vzniklé z porušení </w:t>
      </w:r>
      <w:r w:rsidR="00094999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příslušné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povinnosti, ke kterému se smluvní pokuta vztahuje.</w:t>
      </w:r>
    </w:p>
    <w:p w14:paraId="199790F2" w14:textId="0CBDE2B6" w:rsidR="000A6E5B" w:rsidRPr="00342F2C" w:rsidRDefault="00003EEE" w:rsidP="00F80D8B">
      <w:pPr>
        <w:numPr>
          <w:ilvl w:val="0"/>
          <w:numId w:val="7"/>
        </w:numPr>
        <w:shd w:val="clear" w:color="auto" w:fill="FFFFFF"/>
        <w:tabs>
          <w:tab w:val="left" w:pos="149"/>
        </w:tabs>
        <w:spacing w:before="67"/>
        <w:ind w:left="426" w:right="86" w:hanging="426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cs-CZ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Vyloučení a omezení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>odpovědnost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i za škodu HET-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platí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i pro </w:t>
      </w:r>
      <w:r w:rsidR="00F86E5E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osobní 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odpovědnost </w:t>
      </w:r>
      <w:r w:rsidR="00604FDB">
        <w:rPr>
          <w:rFonts w:ascii="Times New Roman" w:hAnsi="Times New Roman" w:cs="Times New Roman"/>
          <w:color w:val="000000"/>
          <w:sz w:val="22"/>
          <w:szCs w:val="22"/>
          <w:lang w:val="cs-CZ"/>
        </w:rPr>
        <w:t>zaměstnanců</w:t>
      </w:r>
      <w:r w:rsidR="0026786F" w:rsidRPr="00D130C5"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a spolupracovníků HET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val="cs-CZ"/>
        </w:rPr>
        <w:t xml:space="preserve">. </w:t>
      </w:r>
    </w:p>
    <w:p w14:paraId="66A0546D" w14:textId="36DC3502" w:rsidR="00851EF1" w:rsidRPr="00D130C5" w:rsidRDefault="0026786F" w:rsidP="00031C8E">
      <w:pPr>
        <w:numPr>
          <w:ilvl w:val="0"/>
          <w:numId w:val="27"/>
        </w:numPr>
        <w:shd w:val="clear" w:color="auto" w:fill="FFFFFF"/>
        <w:spacing w:before="264"/>
        <w:ind w:left="426" w:hanging="426"/>
        <w:rPr>
          <w:rFonts w:ascii="Times New Roman" w:hAnsi="Times New Roman" w:cs="Times New Roman"/>
          <w:sz w:val="22"/>
          <w:szCs w:val="22"/>
          <w:lang w:val="cs-CZ"/>
        </w:rPr>
      </w:pPr>
      <w:r w:rsidRPr="00D130C5">
        <w:rPr>
          <w:rFonts w:ascii="Times New Roman" w:hAnsi="Times New Roman" w:cs="Times New Roman"/>
          <w:b/>
          <w:bCs/>
          <w:color w:val="000000"/>
          <w:sz w:val="22"/>
          <w:szCs w:val="22"/>
          <w:lang w:val="cs-CZ"/>
        </w:rPr>
        <w:t xml:space="preserve">Rozhodné </w:t>
      </w:r>
      <w:r w:rsidRPr="00D130C5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  <w:lang w:val="cs-CZ"/>
        </w:rPr>
        <w:t>právo</w:t>
      </w:r>
      <w:r w:rsidR="00074A4E"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  <w:lang w:val="cs-CZ"/>
        </w:rPr>
        <w:t xml:space="preserve"> a řešení sporů</w:t>
      </w:r>
    </w:p>
    <w:p w14:paraId="67AB5EB3" w14:textId="2C7C246C" w:rsidR="00074A4E" w:rsidRPr="003E4826" w:rsidRDefault="00074A4E" w:rsidP="003E4826">
      <w:pPr>
        <w:pStyle w:val="Odstavecseseznamem"/>
        <w:numPr>
          <w:ilvl w:val="0"/>
          <w:numId w:val="25"/>
        </w:numPr>
        <w:shd w:val="clear" w:color="auto" w:fill="FFFFFF"/>
        <w:spacing w:before="60" w:after="60"/>
        <w:ind w:left="425" w:hanging="425"/>
        <w:contextualSpacing w:val="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Veškeré smlouvy</w:t>
      </w:r>
      <w:r w:rsid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,</w:t>
      </w:r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 jejichž součást </w:t>
      </w:r>
      <w:proofErr w:type="gramStart"/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tvoří</w:t>
      </w:r>
      <w:proofErr w:type="gramEnd"/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 tyto VOP</w:t>
      </w:r>
      <w:r w:rsid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,</w:t>
      </w:r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 a právní vztahy z těchto smluv vzniklé </w:t>
      </w:r>
      <w:r w:rsid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a</w:t>
      </w:r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 s nimi související se řídí právním řádem České republiky </w:t>
      </w:r>
      <w:r w:rsid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s vyloučením </w:t>
      </w:r>
      <w:r w:rsidR="003E4826"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aplikace </w:t>
      </w:r>
      <w:r w:rsidR="003E4826" w:rsidRPr="00D83A53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jednotných právních předpisů o mezinárodní koupi movitých věcí a o uzavírání mezinárodních kupních smluv na movité věci, zejm. Vídeňské úmluvy OSN o smlouvách o mezinárodní koupi zboží a Úmluvy o promlčení při mezinárodní koupi zboží.</w:t>
      </w:r>
      <w:r w:rsid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 </w:t>
      </w:r>
      <w:r w:rsidR="003E4826" w:rsidRP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P</w:t>
      </w:r>
      <w:r w:rsidRP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ráva a povinnosti neupravené ve smlouvě nebo v těchto VOP se řídí zejména příslušnými ustanoveními </w:t>
      </w:r>
      <w:r w:rsidR="001F20F5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českého </w:t>
      </w:r>
      <w:r w:rsidRP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O</w:t>
      </w:r>
      <w:r w:rsidR="001F20F5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Z. </w:t>
      </w:r>
    </w:p>
    <w:p w14:paraId="44F923B1" w14:textId="53411371" w:rsidR="00D83A53" w:rsidRPr="00D83A53" w:rsidRDefault="00074A4E" w:rsidP="00D83A53">
      <w:pPr>
        <w:pStyle w:val="Odstavecseseznamem"/>
        <w:numPr>
          <w:ilvl w:val="0"/>
          <w:numId w:val="25"/>
        </w:numPr>
        <w:shd w:val="clear" w:color="auto" w:fill="FFFFFF"/>
        <w:spacing w:before="120"/>
        <w:ind w:left="426" w:hanging="426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V případě vzniku sporu mezi účastníky smlouvy</w:t>
      </w:r>
      <w:r w:rsidR="009676BD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, pro kterou platí tyto VOP, nebo v souvislosti s</w:t>
      </w:r>
      <w:r w:rsid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 </w:t>
      </w:r>
      <w:r w:rsidR="009676BD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ní</w:t>
      </w:r>
      <w:r w:rsidR="003E4826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,</w:t>
      </w:r>
      <w:r w:rsidR="009676BD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 </w:t>
      </w:r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se účastníci zavazují řešit tento spor přednostně smírnou cestou. Nedojde-li po vzájemných jednáních k vyřešení sporu, bude předložen tento spor k rozhodnutí příslušnému soudu. Veškeré spory budou řešeny a rozhodovány před příslušnými obecnými soudy České republiky podle českého procesního práva. Mezi účastníky bylo v souladu s ustanovením § 89a zákona č. 99/1963 Sb., občanského soudního řádu, dohodnuto, že pro rozhodování sporu mezi nimi je místně příslušný soud, v jehož obvodu má </w:t>
      </w:r>
      <w:r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HET-</w:t>
      </w:r>
      <w:proofErr w:type="spellStart"/>
      <w:r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Pragoelast</w:t>
      </w:r>
      <w:proofErr w:type="spellEnd"/>
      <w:r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 </w:t>
      </w:r>
      <w:r w:rsidRPr="00074A4E"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 xml:space="preserve">své sídlo. </w:t>
      </w:r>
    </w:p>
    <w:p w14:paraId="24DB03CF" w14:textId="77777777" w:rsidR="00D83A53" w:rsidRDefault="00D83A53" w:rsidP="00D83A53">
      <w:pPr>
        <w:pStyle w:val="Odstavecseseznamem"/>
        <w:shd w:val="clear" w:color="auto" w:fill="FFFFFF"/>
        <w:spacing w:before="120"/>
        <w:ind w:left="426"/>
        <w:jc w:val="both"/>
        <w:rPr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</w:pPr>
    </w:p>
    <w:p w14:paraId="545F43D5" w14:textId="7ACB9714" w:rsidR="000A6E5B" w:rsidRPr="00D130C5" w:rsidRDefault="000A6E5B">
      <w:pPr>
        <w:shd w:val="clear" w:color="auto" w:fill="FFFFFF"/>
        <w:spacing w:before="67"/>
        <w:rPr>
          <w:rFonts w:ascii="Times New Roman" w:hAnsi="Times New Roman" w:cs="Times New Roman"/>
          <w:sz w:val="22"/>
          <w:szCs w:val="22"/>
          <w:lang w:val="cs-CZ"/>
        </w:rPr>
        <w:sectPr w:rsidR="000A6E5B" w:rsidRPr="00D130C5" w:rsidSect="00F85D08">
          <w:type w:val="continuous"/>
          <w:pgSz w:w="11904" w:h="16838"/>
          <w:pgMar w:top="734" w:right="705" w:bottom="259" w:left="1133" w:header="708" w:footer="708" w:gutter="0"/>
          <w:cols w:space="708"/>
          <w:noEndnote/>
        </w:sectPr>
      </w:pPr>
    </w:p>
    <w:p w14:paraId="2AD7B69F" w14:textId="00DDFA4B" w:rsidR="00E85ED6" w:rsidRDefault="00892AB0">
      <w:pPr>
        <w:shd w:val="clear" w:color="auto" w:fill="FFFFFF"/>
        <w:rPr>
          <w:rFonts w:ascii="Times New Roman" w:hAnsi="Times New Roman" w:cs="Times New Roman"/>
          <w:sz w:val="22"/>
          <w:szCs w:val="22"/>
          <w:lang w:val="cs-CZ"/>
        </w:rPr>
      </w:pPr>
      <w:r>
        <w:rPr>
          <w:rFonts w:ascii="Times New Roman" w:hAnsi="Times New Roman" w:cs="Times New Roman"/>
          <w:sz w:val="22"/>
          <w:szCs w:val="22"/>
          <w:lang w:val="cs-CZ"/>
        </w:rPr>
        <w:t xml:space="preserve">V Praze dne </w:t>
      </w:r>
      <w:r w:rsidR="00731E77">
        <w:rPr>
          <w:rFonts w:ascii="Times New Roman" w:hAnsi="Times New Roman" w:cs="Times New Roman"/>
          <w:sz w:val="22"/>
          <w:szCs w:val="22"/>
          <w:lang w:val="cs-CZ"/>
        </w:rPr>
        <w:t>27.06.2024</w:t>
      </w:r>
    </w:p>
    <w:p w14:paraId="3AA54009" w14:textId="77777777" w:rsidR="00495C96" w:rsidRPr="00D130C5" w:rsidRDefault="00495C96">
      <w:pPr>
        <w:shd w:val="clear" w:color="auto" w:fill="FFFFFF"/>
        <w:rPr>
          <w:rFonts w:ascii="Times New Roman" w:hAnsi="Times New Roman" w:cs="Times New Roman"/>
          <w:sz w:val="22"/>
          <w:szCs w:val="22"/>
          <w:lang w:val="cs-CZ"/>
        </w:rPr>
      </w:pPr>
    </w:p>
    <w:sectPr w:rsidR="00495C96" w:rsidRPr="00D130C5" w:rsidSect="00F85D08">
      <w:type w:val="continuous"/>
      <w:pgSz w:w="11904" w:h="16838"/>
      <w:pgMar w:top="734" w:right="3288" w:bottom="259" w:left="129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81891" w14:textId="77777777" w:rsidR="00C51E4E" w:rsidRDefault="00C51E4E" w:rsidP="00435EF0">
      <w:r>
        <w:separator/>
      </w:r>
    </w:p>
  </w:endnote>
  <w:endnote w:type="continuationSeparator" w:id="0">
    <w:p w14:paraId="0AC82C26" w14:textId="77777777" w:rsidR="00C51E4E" w:rsidRDefault="00C51E4E" w:rsidP="0043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DBEBD" w14:textId="77777777" w:rsidR="00C51E4E" w:rsidRDefault="00C51E4E" w:rsidP="00435EF0">
      <w:r>
        <w:separator/>
      </w:r>
    </w:p>
  </w:footnote>
  <w:footnote w:type="continuationSeparator" w:id="0">
    <w:p w14:paraId="32CC2B44" w14:textId="77777777" w:rsidR="00C51E4E" w:rsidRDefault="00C51E4E" w:rsidP="00435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A032A" w14:textId="66A3489B" w:rsidR="00435EF0" w:rsidRDefault="00435EF0">
    <w:pPr>
      <w:pStyle w:val="Zhlav"/>
    </w:pPr>
    <w:r>
      <w:rPr>
        <w:noProof/>
      </w:rPr>
      <w:t xml:space="preserve">                                                                                           </w:t>
    </w:r>
    <w:r w:rsidRPr="00940F92">
      <w:rPr>
        <w:noProof/>
        <w:lang w:val="cs-CZ"/>
      </w:rPr>
      <w:drawing>
        <wp:inline distT="0" distB="0" distL="0" distR="0" wp14:anchorId="3CF482AF" wp14:editId="0B46372A">
          <wp:extent cx="1162050" cy="598496"/>
          <wp:effectExtent l="0" t="0" r="0" b="0"/>
          <wp:docPr id="1" name="Obrázek 4">
            <a:extLst xmlns:a="http://schemas.openxmlformats.org/drawingml/2006/main">
              <a:ext uri="{FF2B5EF4-FFF2-40B4-BE49-F238E27FC236}">
                <a16:creationId xmlns:a16="http://schemas.microsoft.com/office/drawing/2014/main" id="{ADAC4455-1A65-4430-9F1D-0B2A23DEF6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4">
                    <a:extLst>
                      <a:ext uri="{FF2B5EF4-FFF2-40B4-BE49-F238E27FC236}">
                        <a16:creationId xmlns:a16="http://schemas.microsoft.com/office/drawing/2014/main" id="{ADAC4455-1A65-4430-9F1D-0B2A23DEF6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82" cy="621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DDB"/>
    <w:multiLevelType w:val="hybridMultilevel"/>
    <w:tmpl w:val="6B4A681A"/>
    <w:lvl w:ilvl="0" w:tplc="79400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CD7"/>
    <w:multiLevelType w:val="hybridMultilevel"/>
    <w:tmpl w:val="D652A7EC"/>
    <w:lvl w:ilvl="0" w:tplc="B5FAD578">
      <w:start w:val="1"/>
      <w:numFmt w:val="bullet"/>
      <w:lvlText w:val=""/>
      <w:lvlJc w:val="left"/>
      <w:pPr>
        <w:ind w:left="720" w:hanging="360"/>
      </w:pPr>
      <w:rPr>
        <w:rFonts w:ascii="Arial" w:hAnsi="Arial" w:hint="default"/>
        <w:sz w:val="1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434B7"/>
    <w:multiLevelType w:val="hybridMultilevel"/>
    <w:tmpl w:val="B31CD326"/>
    <w:lvl w:ilvl="0" w:tplc="33FE10C4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0A771A05"/>
    <w:multiLevelType w:val="singleLevel"/>
    <w:tmpl w:val="AB125FF2"/>
    <w:lvl w:ilvl="0">
      <w:start w:val="1"/>
      <w:numFmt w:val="lowerLetter"/>
      <w:lvlText w:val="%1)"/>
      <w:legacy w:legacy="1" w:legacySpace="0" w:legacyIndent="134"/>
      <w:lvlJc w:val="left"/>
      <w:rPr>
        <w:rFonts w:ascii="Arial" w:hAnsi="Arial" w:cs="Arial" w:hint="default"/>
      </w:rPr>
    </w:lvl>
  </w:abstractNum>
  <w:abstractNum w:abstractNumId="4" w15:restartNumberingAfterBreak="0">
    <w:nsid w:val="15312A00"/>
    <w:multiLevelType w:val="singleLevel"/>
    <w:tmpl w:val="74B81002"/>
    <w:lvl w:ilvl="0">
      <w:start w:val="1"/>
      <w:numFmt w:val="lowerLetter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B4BC0"/>
    <w:multiLevelType w:val="hybridMultilevel"/>
    <w:tmpl w:val="80C69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2802"/>
    <w:multiLevelType w:val="singleLevel"/>
    <w:tmpl w:val="1AEC5940"/>
    <w:lvl w:ilvl="0">
      <w:start w:val="1"/>
      <w:numFmt w:val="lowerLetter"/>
      <w:lvlText w:val="%1)"/>
      <w:legacy w:legacy="1" w:legacySpace="0" w:legacyIndent="139"/>
      <w:lvlJc w:val="left"/>
      <w:rPr>
        <w:rFonts w:ascii="Arial" w:hAnsi="Arial" w:cs="Arial" w:hint="default"/>
      </w:rPr>
    </w:lvl>
  </w:abstractNum>
  <w:abstractNum w:abstractNumId="7" w15:restartNumberingAfterBreak="0">
    <w:nsid w:val="2A081FF9"/>
    <w:multiLevelType w:val="singleLevel"/>
    <w:tmpl w:val="A0D69846"/>
    <w:lvl w:ilvl="0">
      <w:start w:val="1"/>
      <w:numFmt w:val="lowerLetter"/>
      <w:lvlText w:val="%1)"/>
      <w:legacy w:legacy="1" w:legacySpace="0" w:legacyIndent="173"/>
      <w:lvlJc w:val="left"/>
      <w:rPr>
        <w:rFonts w:ascii="Arial" w:hAnsi="Arial" w:cs="Arial" w:hint="default"/>
      </w:rPr>
    </w:lvl>
  </w:abstractNum>
  <w:abstractNum w:abstractNumId="8" w15:restartNumberingAfterBreak="0">
    <w:nsid w:val="2A151C57"/>
    <w:multiLevelType w:val="hybridMultilevel"/>
    <w:tmpl w:val="3F6C8A24"/>
    <w:lvl w:ilvl="0" w:tplc="44526050">
      <w:start w:val="5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0F07C3"/>
    <w:multiLevelType w:val="hybridMultilevel"/>
    <w:tmpl w:val="E954C470"/>
    <w:lvl w:ilvl="0" w:tplc="72746462">
      <w:start w:val="1"/>
      <w:numFmt w:val="decimal"/>
      <w:lvlText w:val="%1."/>
      <w:lvlJc w:val="left"/>
      <w:pPr>
        <w:ind w:left="73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abstractNum w:abstractNumId="10" w15:restartNumberingAfterBreak="0">
    <w:nsid w:val="2BC67D7D"/>
    <w:multiLevelType w:val="singleLevel"/>
    <w:tmpl w:val="140C8728"/>
    <w:lvl w:ilvl="0">
      <w:start w:val="3"/>
      <w:numFmt w:val="lowerLetter"/>
      <w:lvlText w:val="%1)"/>
      <w:legacy w:legacy="1" w:legacySpace="0" w:legacyIndent="129"/>
      <w:lvlJc w:val="left"/>
      <w:rPr>
        <w:rFonts w:ascii="Arial" w:hAnsi="Arial" w:cs="Arial" w:hint="default"/>
      </w:rPr>
    </w:lvl>
  </w:abstractNum>
  <w:abstractNum w:abstractNumId="11" w15:restartNumberingAfterBreak="0">
    <w:nsid w:val="2C1A2E17"/>
    <w:multiLevelType w:val="hybridMultilevel"/>
    <w:tmpl w:val="C688C440"/>
    <w:lvl w:ilvl="0" w:tplc="79400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56975"/>
    <w:multiLevelType w:val="hybridMultilevel"/>
    <w:tmpl w:val="F49EE010"/>
    <w:lvl w:ilvl="0" w:tplc="8348D56C">
      <w:start w:val="1"/>
      <w:numFmt w:val="bullet"/>
      <w:lvlText w:val=""/>
      <w:lvlJc w:val="left"/>
      <w:pPr>
        <w:ind w:left="100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C195729"/>
    <w:multiLevelType w:val="singleLevel"/>
    <w:tmpl w:val="74B81002"/>
    <w:lvl w:ilvl="0">
      <w:start w:val="1"/>
      <w:numFmt w:val="lowerLetter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ED47D9E"/>
    <w:multiLevelType w:val="hybridMultilevel"/>
    <w:tmpl w:val="3C620C96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805A2"/>
    <w:multiLevelType w:val="singleLevel"/>
    <w:tmpl w:val="74B81002"/>
    <w:lvl w:ilvl="0">
      <w:start w:val="1"/>
      <w:numFmt w:val="lowerLetter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9230FD6"/>
    <w:multiLevelType w:val="singleLevel"/>
    <w:tmpl w:val="6692446A"/>
    <w:lvl w:ilvl="0">
      <w:start w:val="1"/>
      <w:numFmt w:val="lowerLetter"/>
      <w:lvlText w:val="%1)"/>
      <w:legacy w:legacy="1" w:legacySpace="0" w:legacyIndent="158"/>
      <w:lvlJc w:val="left"/>
      <w:rPr>
        <w:rFonts w:ascii="Arial" w:hAnsi="Arial" w:cs="Arial" w:hint="default"/>
      </w:rPr>
    </w:lvl>
  </w:abstractNum>
  <w:abstractNum w:abstractNumId="17" w15:restartNumberingAfterBreak="0">
    <w:nsid w:val="4A5C6C1F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8" w15:restartNumberingAfterBreak="0">
    <w:nsid w:val="4B8C7B65"/>
    <w:multiLevelType w:val="hybridMultilevel"/>
    <w:tmpl w:val="611E4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55BBD"/>
    <w:multiLevelType w:val="singleLevel"/>
    <w:tmpl w:val="74B81002"/>
    <w:lvl w:ilvl="0">
      <w:start w:val="1"/>
      <w:numFmt w:val="lowerLetter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603462"/>
    <w:multiLevelType w:val="hybridMultilevel"/>
    <w:tmpl w:val="00DE9436"/>
    <w:lvl w:ilvl="0" w:tplc="EFB6C034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66D82"/>
    <w:multiLevelType w:val="hybridMultilevel"/>
    <w:tmpl w:val="611E4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8742BF"/>
    <w:multiLevelType w:val="singleLevel"/>
    <w:tmpl w:val="74B81002"/>
    <w:lvl w:ilvl="0">
      <w:start w:val="1"/>
      <w:numFmt w:val="lowerLetter"/>
      <w:lvlText w:val="%1)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41D02FA"/>
    <w:multiLevelType w:val="hybridMultilevel"/>
    <w:tmpl w:val="3A0C5D20"/>
    <w:lvl w:ilvl="0" w:tplc="318C3CAA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  <w:sz w:val="10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65787F63"/>
    <w:multiLevelType w:val="hybridMultilevel"/>
    <w:tmpl w:val="D0389FA0"/>
    <w:lvl w:ilvl="0" w:tplc="4E4C0D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99253F"/>
    <w:multiLevelType w:val="hybridMultilevel"/>
    <w:tmpl w:val="25BE415A"/>
    <w:lvl w:ilvl="0" w:tplc="6BFACB2C">
      <w:start w:val="3"/>
      <w:numFmt w:val="decimal"/>
      <w:lvlText w:val="%1."/>
      <w:lvlJc w:val="left"/>
      <w:pPr>
        <w:ind w:left="73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00C"/>
    <w:multiLevelType w:val="hybridMultilevel"/>
    <w:tmpl w:val="9392EAF0"/>
    <w:lvl w:ilvl="0" w:tplc="85AEDA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1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357318558">
    <w:abstractNumId w:val="4"/>
  </w:num>
  <w:num w:numId="2" w16cid:durableId="178394060">
    <w:abstractNumId w:val="16"/>
  </w:num>
  <w:num w:numId="3" w16cid:durableId="2120172838">
    <w:abstractNumId w:val="3"/>
  </w:num>
  <w:num w:numId="4" w16cid:durableId="1177035519">
    <w:abstractNumId w:val="6"/>
  </w:num>
  <w:num w:numId="5" w16cid:durableId="2073388628">
    <w:abstractNumId w:val="7"/>
  </w:num>
  <w:num w:numId="6" w16cid:durableId="799110861">
    <w:abstractNumId w:val="10"/>
  </w:num>
  <w:num w:numId="7" w16cid:durableId="393938368">
    <w:abstractNumId w:val="17"/>
  </w:num>
  <w:num w:numId="8" w16cid:durableId="850140362">
    <w:abstractNumId w:val="12"/>
  </w:num>
  <w:num w:numId="9" w16cid:durableId="1066880130">
    <w:abstractNumId w:val="0"/>
  </w:num>
  <w:num w:numId="10" w16cid:durableId="28147265">
    <w:abstractNumId w:val="1"/>
  </w:num>
  <w:num w:numId="11" w16cid:durableId="1510214559">
    <w:abstractNumId w:val="20"/>
  </w:num>
  <w:num w:numId="12" w16cid:durableId="257981934">
    <w:abstractNumId w:val="26"/>
  </w:num>
  <w:num w:numId="13" w16cid:durableId="959916455">
    <w:abstractNumId w:val="23"/>
  </w:num>
  <w:num w:numId="14" w16cid:durableId="606738538">
    <w:abstractNumId w:val="9"/>
  </w:num>
  <w:num w:numId="15" w16cid:durableId="843740397">
    <w:abstractNumId w:val="2"/>
  </w:num>
  <w:num w:numId="16" w16cid:durableId="779178221">
    <w:abstractNumId w:val="19"/>
  </w:num>
  <w:num w:numId="17" w16cid:durableId="1735002096">
    <w:abstractNumId w:val="13"/>
  </w:num>
  <w:num w:numId="18" w16cid:durableId="2036691247">
    <w:abstractNumId w:val="15"/>
  </w:num>
  <w:num w:numId="19" w16cid:durableId="1192572393">
    <w:abstractNumId w:val="22"/>
  </w:num>
  <w:num w:numId="20" w16cid:durableId="711852844">
    <w:abstractNumId w:val="18"/>
  </w:num>
  <w:num w:numId="21" w16cid:durableId="1032078091">
    <w:abstractNumId w:val="21"/>
  </w:num>
  <w:num w:numId="22" w16cid:durableId="874005445">
    <w:abstractNumId w:val="11"/>
  </w:num>
  <w:num w:numId="23" w16cid:durableId="2142185843">
    <w:abstractNumId w:val="5"/>
  </w:num>
  <w:num w:numId="24" w16cid:durableId="1847550990">
    <w:abstractNumId w:val="8"/>
  </w:num>
  <w:num w:numId="25" w16cid:durableId="62143242">
    <w:abstractNumId w:val="24"/>
  </w:num>
  <w:num w:numId="26" w16cid:durableId="93019558">
    <w:abstractNumId w:val="14"/>
  </w:num>
  <w:num w:numId="27" w16cid:durableId="18584197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trackRevisions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11"/>
    <w:rsid w:val="00003EEE"/>
    <w:rsid w:val="00014BE9"/>
    <w:rsid w:val="000260C1"/>
    <w:rsid w:val="00031C8E"/>
    <w:rsid w:val="00037F24"/>
    <w:rsid w:val="00041AB4"/>
    <w:rsid w:val="000466F0"/>
    <w:rsid w:val="000629D0"/>
    <w:rsid w:val="00065C95"/>
    <w:rsid w:val="000727A7"/>
    <w:rsid w:val="00074A4E"/>
    <w:rsid w:val="00084CB2"/>
    <w:rsid w:val="00091473"/>
    <w:rsid w:val="000914E8"/>
    <w:rsid w:val="00091E8E"/>
    <w:rsid w:val="00092974"/>
    <w:rsid w:val="00093C00"/>
    <w:rsid w:val="00094999"/>
    <w:rsid w:val="000973B8"/>
    <w:rsid w:val="000A4310"/>
    <w:rsid w:val="000A6E5B"/>
    <w:rsid w:val="000B3A05"/>
    <w:rsid w:val="000B61B6"/>
    <w:rsid w:val="000D2B3D"/>
    <w:rsid w:val="000E2DEF"/>
    <w:rsid w:val="000F4ED6"/>
    <w:rsid w:val="00110336"/>
    <w:rsid w:val="001210DF"/>
    <w:rsid w:val="00136304"/>
    <w:rsid w:val="00141F07"/>
    <w:rsid w:val="00161354"/>
    <w:rsid w:val="00163409"/>
    <w:rsid w:val="00163D6B"/>
    <w:rsid w:val="00165C08"/>
    <w:rsid w:val="001878C3"/>
    <w:rsid w:val="00187EF6"/>
    <w:rsid w:val="00193E4B"/>
    <w:rsid w:val="001A20B3"/>
    <w:rsid w:val="001A3DB7"/>
    <w:rsid w:val="001A3F5D"/>
    <w:rsid w:val="001B71E9"/>
    <w:rsid w:val="001C1BE6"/>
    <w:rsid w:val="001C4721"/>
    <w:rsid w:val="001D5B4C"/>
    <w:rsid w:val="001D67A0"/>
    <w:rsid w:val="001E1F48"/>
    <w:rsid w:val="001F20F5"/>
    <w:rsid w:val="001F3168"/>
    <w:rsid w:val="001F5234"/>
    <w:rsid w:val="0020443B"/>
    <w:rsid w:val="00213B87"/>
    <w:rsid w:val="00215A24"/>
    <w:rsid w:val="00227C95"/>
    <w:rsid w:val="002300DD"/>
    <w:rsid w:val="00230220"/>
    <w:rsid w:val="00231711"/>
    <w:rsid w:val="00235457"/>
    <w:rsid w:val="0024352F"/>
    <w:rsid w:val="0025022F"/>
    <w:rsid w:val="00252B58"/>
    <w:rsid w:val="002573DE"/>
    <w:rsid w:val="00257BFD"/>
    <w:rsid w:val="002623B4"/>
    <w:rsid w:val="002653FD"/>
    <w:rsid w:val="00267068"/>
    <w:rsid w:val="0026786F"/>
    <w:rsid w:val="00291D0E"/>
    <w:rsid w:val="00294259"/>
    <w:rsid w:val="002A04A6"/>
    <w:rsid w:val="002A1A15"/>
    <w:rsid w:val="002B7B20"/>
    <w:rsid w:val="002C1D70"/>
    <w:rsid w:val="002C3453"/>
    <w:rsid w:val="002C5805"/>
    <w:rsid w:val="002C61A0"/>
    <w:rsid w:val="002D3584"/>
    <w:rsid w:val="002D7DEA"/>
    <w:rsid w:val="002E119C"/>
    <w:rsid w:val="002E2C58"/>
    <w:rsid w:val="002F2E5B"/>
    <w:rsid w:val="002F3D65"/>
    <w:rsid w:val="00307135"/>
    <w:rsid w:val="00315175"/>
    <w:rsid w:val="003155E8"/>
    <w:rsid w:val="00342F2C"/>
    <w:rsid w:val="003436AE"/>
    <w:rsid w:val="00354465"/>
    <w:rsid w:val="00355449"/>
    <w:rsid w:val="003575E2"/>
    <w:rsid w:val="003604DE"/>
    <w:rsid w:val="0038070E"/>
    <w:rsid w:val="0038550D"/>
    <w:rsid w:val="00387034"/>
    <w:rsid w:val="003A5547"/>
    <w:rsid w:val="003B37C6"/>
    <w:rsid w:val="003C2F88"/>
    <w:rsid w:val="003D152F"/>
    <w:rsid w:val="003D3082"/>
    <w:rsid w:val="003E4826"/>
    <w:rsid w:val="003E7696"/>
    <w:rsid w:val="003F12DE"/>
    <w:rsid w:val="003F2DC7"/>
    <w:rsid w:val="003F59D8"/>
    <w:rsid w:val="003F6805"/>
    <w:rsid w:val="00402611"/>
    <w:rsid w:val="00404649"/>
    <w:rsid w:val="00407B21"/>
    <w:rsid w:val="0042168F"/>
    <w:rsid w:val="00423E87"/>
    <w:rsid w:val="00427821"/>
    <w:rsid w:val="00430354"/>
    <w:rsid w:val="00431230"/>
    <w:rsid w:val="00435EF0"/>
    <w:rsid w:val="00440349"/>
    <w:rsid w:val="00441BB4"/>
    <w:rsid w:val="00452986"/>
    <w:rsid w:val="0049092F"/>
    <w:rsid w:val="00494965"/>
    <w:rsid w:val="00495C96"/>
    <w:rsid w:val="00496784"/>
    <w:rsid w:val="004A6059"/>
    <w:rsid w:val="004A7AA7"/>
    <w:rsid w:val="004B6069"/>
    <w:rsid w:val="004D2C37"/>
    <w:rsid w:val="004D56A1"/>
    <w:rsid w:val="004E2E45"/>
    <w:rsid w:val="004F45D9"/>
    <w:rsid w:val="005011B0"/>
    <w:rsid w:val="0051638C"/>
    <w:rsid w:val="00517BBE"/>
    <w:rsid w:val="00521B42"/>
    <w:rsid w:val="00525481"/>
    <w:rsid w:val="00527119"/>
    <w:rsid w:val="0055147B"/>
    <w:rsid w:val="00553109"/>
    <w:rsid w:val="00553BB1"/>
    <w:rsid w:val="0055503E"/>
    <w:rsid w:val="00594BEE"/>
    <w:rsid w:val="005B648B"/>
    <w:rsid w:val="005C2C0E"/>
    <w:rsid w:val="005C4FB0"/>
    <w:rsid w:val="005C77EA"/>
    <w:rsid w:val="005E51A6"/>
    <w:rsid w:val="005F14CF"/>
    <w:rsid w:val="00604FDB"/>
    <w:rsid w:val="00606ACD"/>
    <w:rsid w:val="006160E9"/>
    <w:rsid w:val="00616200"/>
    <w:rsid w:val="00631134"/>
    <w:rsid w:val="00634A4E"/>
    <w:rsid w:val="00644A77"/>
    <w:rsid w:val="00654B4E"/>
    <w:rsid w:val="00655541"/>
    <w:rsid w:val="00655924"/>
    <w:rsid w:val="00660809"/>
    <w:rsid w:val="00660C98"/>
    <w:rsid w:val="0066568C"/>
    <w:rsid w:val="00665B36"/>
    <w:rsid w:val="00666A01"/>
    <w:rsid w:val="00671216"/>
    <w:rsid w:val="006739E9"/>
    <w:rsid w:val="00686D01"/>
    <w:rsid w:val="006872F5"/>
    <w:rsid w:val="0069683B"/>
    <w:rsid w:val="006A1837"/>
    <w:rsid w:val="006A321E"/>
    <w:rsid w:val="006B3BE3"/>
    <w:rsid w:val="006C6CBF"/>
    <w:rsid w:val="006D29BF"/>
    <w:rsid w:val="006F21E6"/>
    <w:rsid w:val="007074DA"/>
    <w:rsid w:val="0072610F"/>
    <w:rsid w:val="00731E77"/>
    <w:rsid w:val="007331E5"/>
    <w:rsid w:val="00741112"/>
    <w:rsid w:val="007425E2"/>
    <w:rsid w:val="00747D12"/>
    <w:rsid w:val="007518B2"/>
    <w:rsid w:val="00761242"/>
    <w:rsid w:val="00762804"/>
    <w:rsid w:val="00765228"/>
    <w:rsid w:val="00767752"/>
    <w:rsid w:val="00784A43"/>
    <w:rsid w:val="00792D6C"/>
    <w:rsid w:val="00795D9E"/>
    <w:rsid w:val="007D081F"/>
    <w:rsid w:val="007D62DF"/>
    <w:rsid w:val="007D7B69"/>
    <w:rsid w:val="007E215D"/>
    <w:rsid w:val="007E5A17"/>
    <w:rsid w:val="007E7F63"/>
    <w:rsid w:val="007F20B8"/>
    <w:rsid w:val="00802112"/>
    <w:rsid w:val="00805B00"/>
    <w:rsid w:val="0081115D"/>
    <w:rsid w:val="00814E2D"/>
    <w:rsid w:val="00820210"/>
    <w:rsid w:val="00844E21"/>
    <w:rsid w:val="00851EF1"/>
    <w:rsid w:val="00853926"/>
    <w:rsid w:val="0085425A"/>
    <w:rsid w:val="008677F3"/>
    <w:rsid w:val="00867C9E"/>
    <w:rsid w:val="00870F1F"/>
    <w:rsid w:val="008727A4"/>
    <w:rsid w:val="00872BC9"/>
    <w:rsid w:val="00874D87"/>
    <w:rsid w:val="00885238"/>
    <w:rsid w:val="00890E9F"/>
    <w:rsid w:val="00892AB0"/>
    <w:rsid w:val="008A58C6"/>
    <w:rsid w:val="008B00C6"/>
    <w:rsid w:val="008E00C1"/>
    <w:rsid w:val="008E4B5F"/>
    <w:rsid w:val="008F2700"/>
    <w:rsid w:val="008F5107"/>
    <w:rsid w:val="008F7CD9"/>
    <w:rsid w:val="00901334"/>
    <w:rsid w:val="00917E8D"/>
    <w:rsid w:val="0092046C"/>
    <w:rsid w:val="009212F9"/>
    <w:rsid w:val="00927CE1"/>
    <w:rsid w:val="00933B99"/>
    <w:rsid w:val="00951036"/>
    <w:rsid w:val="00954D3F"/>
    <w:rsid w:val="009568A2"/>
    <w:rsid w:val="0096215A"/>
    <w:rsid w:val="009641E8"/>
    <w:rsid w:val="00965095"/>
    <w:rsid w:val="009676BD"/>
    <w:rsid w:val="009718ED"/>
    <w:rsid w:val="00977EC0"/>
    <w:rsid w:val="009A1E4D"/>
    <w:rsid w:val="009B1DC9"/>
    <w:rsid w:val="009B54E2"/>
    <w:rsid w:val="009B77DC"/>
    <w:rsid w:val="009C02BF"/>
    <w:rsid w:val="009C043B"/>
    <w:rsid w:val="009C5EEC"/>
    <w:rsid w:val="009D21C0"/>
    <w:rsid w:val="009D7F8D"/>
    <w:rsid w:val="009F0347"/>
    <w:rsid w:val="009F175F"/>
    <w:rsid w:val="00A06299"/>
    <w:rsid w:val="00A07F94"/>
    <w:rsid w:val="00A12740"/>
    <w:rsid w:val="00A16C47"/>
    <w:rsid w:val="00A229AD"/>
    <w:rsid w:val="00A27F88"/>
    <w:rsid w:val="00A314CB"/>
    <w:rsid w:val="00A534C0"/>
    <w:rsid w:val="00A61A45"/>
    <w:rsid w:val="00A65CEE"/>
    <w:rsid w:val="00A83F39"/>
    <w:rsid w:val="00A85527"/>
    <w:rsid w:val="00A93B8C"/>
    <w:rsid w:val="00A94307"/>
    <w:rsid w:val="00AA0459"/>
    <w:rsid w:val="00AA4382"/>
    <w:rsid w:val="00AB717A"/>
    <w:rsid w:val="00AD1DA8"/>
    <w:rsid w:val="00AE3A17"/>
    <w:rsid w:val="00AF3BD6"/>
    <w:rsid w:val="00AF42F5"/>
    <w:rsid w:val="00AF60DC"/>
    <w:rsid w:val="00B0111A"/>
    <w:rsid w:val="00B04E95"/>
    <w:rsid w:val="00B12E74"/>
    <w:rsid w:val="00B14C55"/>
    <w:rsid w:val="00B160FA"/>
    <w:rsid w:val="00B25795"/>
    <w:rsid w:val="00B266F4"/>
    <w:rsid w:val="00B27EFC"/>
    <w:rsid w:val="00B307B1"/>
    <w:rsid w:val="00B404FC"/>
    <w:rsid w:val="00B477A9"/>
    <w:rsid w:val="00B526F6"/>
    <w:rsid w:val="00B55C14"/>
    <w:rsid w:val="00B60E5B"/>
    <w:rsid w:val="00B61335"/>
    <w:rsid w:val="00B92606"/>
    <w:rsid w:val="00B9691E"/>
    <w:rsid w:val="00B97F77"/>
    <w:rsid w:val="00BA673D"/>
    <w:rsid w:val="00BB06D8"/>
    <w:rsid w:val="00BB2F31"/>
    <w:rsid w:val="00BC1C51"/>
    <w:rsid w:val="00BD4001"/>
    <w:rsid w:val="00BD7A60"/>
    <w:rsid w:val="00BE4EBF"/>
    <w:rsid w:val="00BF0E46"/>
    <w:rsid w:val="00C03EC0"/>
    <w:rsid w:val="00C12BEF"/>
    <w:rsid w:val="00C13096"/>
    <w:rsid w:val="00C2630A"/>
    <w:rsid w:val="00C33078"/>
    <w:rsid w:val="00C37C46"/>
    <w:rsid w:val="00C51E4E"/>
    <w:rsid w:val="00C55D2A"/>
    <w:rsid w:val="00C57C31"/>
    <w:rsid w:val="00C74AB3"/>
    <w:rsid w:val="00C82088"/>
    <w:rsid w:val="00C859F6"/>
    <w:rsid w:val="00C87D36"/>
    <w:rsid w:val="00C904BA"/>
    <w:rsid w:val="00C914DE"/>
    <w:rsid w:val="00C915A5"/>
    <w:rsid w:val="00C970A2"/>
    <w:rsid w:val="00CA07D3"/>
    <w:rsid w:val="00CA2DDA"/>
    <w:rsid w:val="00CA33DC"/>
    <w:rsid w:val="00CA39C9"/>
    <w:rsid w:val="00CB4760"/>
    <w:rsid w:val="00CB7F8F"/>
    <w:rsid w:val="00CC516D"/>
    <w:rsid w:val="00CD14FA"/>
    <w:rsid w:val="00CF2C68"/>
    <w:rsid w:val="00CF2EAC"/>
    <w:rsid w:val="00CF35CF"/>
    <w:rsid w:val="00CF5ACD"/>
    <w:rsid w:val="00D0153E"/>
    <w:rsid w:val="00D0432C"/>
    <w:rsid w:val="00D05C82"/>
    <w:rsid w:val="00D074E5"/>
    <w:rsid w:val="00D130C5"/>
    <w:rsid w:val="00D14966"/>
    <w:rsid w:val="00D23D6D"/>
    <w:rsid w:val="00D245CC"/>
    <w:rsid w:val="00D27F4E"/>
    <w:rsid w:val="00D47393"/>
    <w:rsid w:val="00D50D5F"/>
    <w:rsid w:val="00D5681B"/>
    <w:rsid w:val="00D60055"/>
    <w:rsid w:val="00D818E5"/>
    <w:rsid w:val="00D83A53"/>
    <w:rsid w:val="00D84830"/>
    <w:rsid w:val="00D85CE5"/>
    <w:rsid w:val="00D91392"/>
    <w:rsid w:val="00D96576"/>
    <w:rsid w:val="00DA6423"/>
    <w:rsid w:val="00DA6725"/>
    <w:rsid w:val="00DB1DD5"/>
    <w:rsid w:val="00DC035F"/>
    <w:rsid w:val="00DD54FA"/>
    <w:rsid w:val="00DE56D2"/>
    <w:rsid w:val="00DE6F77"/>
    <w:rsid w:val="00DF7BA0"/>
    <w:rsid w:val="00E01DB8"/>
    <w:rsid w:val="00E06275"/>
    <w:rsid w:val="00E12AF8"/>
    <w:rsid w:val="00E13953"/>
    <w:rsid w:val="00E13AD3"/>
    <w:rsid w:val="00E2388D"/>
    <w:rsid w:val="00E40CDC"/>
    <w:rsid w:val="00E41910"/>
    <w:rsid w:val="00E43D80"/>
    <w:rsid w:val="00E47387"/>
    <w:rsid w:val="00E531F4"/>
    <w:rsid w:val="00E54878"/>
    <w:rsid w:val="00E7275A"/>
    <w:rsid w:val="00E729B7"/>
    <w:rsid w:val="00E80E37"/>
    <w:rsid w:val="00E84DCC"/>
    <w:rsid w:val="00E85ED6"/>
    <w:rsid w:val="00E86B4E"/>
    <w:rsid w:val="00EA3B11"/>
    <w:rsid w:val="00EB1363"/>
    <w:rsid w:val="00EC0B00"/>
    <w:rsid w:val="00EC67F5"/>
    <w:rsid w:val="00ED255C"/>
    <w:rsid w:val="00ED7C69"/>
    <w:rsid w:val="00EE3A69"/>
    <w:rsid w:val="00EF21C7"/>
    <w:rsid w:val="00EF4C24"/>
    <w:rsid w:val="00F05DF3"/>
    <w:rsid w:val="00F06104"/>
    <w:rsid w:val="00F12B49"/>
    <w:rsid w:val="00F14AB4"/>
    <w:rsid w:val="00F174F2"/>
    <w:rsid w:val="00F20419"/>
    <w:rsid w:val="00F27896"/>
    <w:rsid w:val="00F27D53"/>
    <w:rsid w:val="00F34F46"/>
    <w:rsid w:val="00F37E9E"/>
    <w:rsid w:val="00F44887"/>
    <w:rsid w:val="00F63592"/>
    <w:rsid w:val="00F65BCA"/>
    <w:rsid w:val="00F7106E"/>
    <w:rsid w:val="00F714E7"/>
    <w:rsid w:val="00F77C4B"/>
    <w:rsid w:val="00F80D8B"/>
    <w:rsid w:val="00F858AE"/>
    <w:rsid w:val="00F85D08"/>
    <w:rsid w:val="00F86E5E"/>
    <w:rsid w:val="00FA1482"/>
    <w:rsid w:val="00FA14A3"/>
    <w:rsid w:val="00FA4BB5"/>
    <w:rsid w:val="00FB3B3F"/>
    <w:rsid w:val="00FB3B9B"/>
    <w:rsid w:val="00FC3873"/>
    <w:rsid w:val="00FC4958"/>
    <w:rsid w:val="00FD213F"/>
    <w:rsid w:val="00FD3A0D"/>
    <w:rsid w:val="00FD7D15"/>
    <w:rsid w:val="00FE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82E41"/>
  <w14:defaultImageDpi w14:val="0"/>
  <w15:docId w15:val="{3773AAF0-36BA-46E4-90F9-2C3CC13F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3B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14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147B"/>
    <w:rPr>
      <w:rFonts w:ascii="Segoe UI" w:hAnsi="Segoe UI" w:cs="Segoe UI"/>
      <w:sz w:val="18"/>
      <w:szCs w:val="18"/>
      <w:lang w:val="de-DE" w:eastAsia="x-none"/>
    </w:rPr>
  </w:style>
  <w:style w:type="paragraph" w:styleId="Odstavecseseznamem">
    <w:name w:val="List Paragraph"/>
    <w:basedOn w:val="Normln"/>
    <w:uiPriority w:val="34"/>
    <w:qFormat/>
    <w:rsid w:val="00851EF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7E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7E8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7E8D"/>
    <w:rPr>
      <w:rFonts w:ascii="Arial" w:hAnsi="Arial" w:cs="Arial"/>
      <w:sz w:val="20"/>
      <w:szCs w:val="2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7E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7E8D"/>
    <w:rPr>
      <w:rFonts w:ascii="Arial" w:hAnsi="Arial" w:cs="Arial"/>
      <w:b/>
      <w:bCs/>
      <w:sz w:val="20"/>
      <w:szCs w:val="20"/>
      <w:lang w:val="de-DE"/>
    </w:rPr>
  </w:style>
  <w:style w:type="character" w:styleId="Hypertextovodkaz">
    <w:name w:val="Hyperlink"/>
    <w:basedOn w:val="Standardnpsmoodstavce"/>
    <w:uiPriority w:val="99"/>
    <w:unhideWhenUsed/>
    <w:rsid w:val="00917E8D"/>
    <w:rPr>
      <w:color w:val="0000FF"/>
      <w:u w:val="single"/>
    </w:rPr>
  </w:style>
  <w:style w:type="paragraph" w:styleId="Revize">
    <w:name w:val="Revision"/>
    <w:hidden/>
    <w:uiPriority w:val="99"/>
    <w:semiHidden/>
    <w:rsid w:val="005E51A6"/>
    <w:pPr>
      <w:spacing w:after="0" w:line="240" w:lineRule="auto"/>
    </w:pPr>
    <w:rPr>
      <w:rFonts w:ascii="Arial" w:hAnsi="Arial" w:cs="Arial"/>
      <w:sz w:val="20"/>
      <w:szCs w:val="20"/>
      <w:lang w:val="de-DE"/>
    </w:rPr>
  </w:style>
  <w:style w:type="paragraph" w:styleId="Zhlav">
    <w:name w:val="header"/>
    <w:basedOn w:val="Normln"/>
    <w:link w:val="ZhlavChar"/>
    <w:uiPriority w:val="99"/>
    <w:unhideWhenUsed/>
    <w:rsid w:val="00435E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EF0"/>
    <w:rPr>
      <w:rFonts w:ascii="Arial" w:hAnsi="Arial" w:cs="Arial"/>
      <w:sz w:val="20"/>
      <w:szCs w:val="20"/>
      <w:lang w:val="de-DE"/>
    </w:rPr>
  </w:style>
  <w:style w:type="paragraph" w:styleId="Zpat">
    <w:name w:val="footer"/>
    <w:basedOn w:val="Normln"/>
    <w:link w:val="ZpatChar"/>
    <w:uiPriority w:val="99"/>
    <w:unhideWhenUsed/>
    <w:rsid w:val="00435E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EF0"/>
    <w:rPr>
      <w:rFonts w:ascii="Arial" w:hAnsi="Arial" w:cs="Arial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goelast.cz/obchodni-podmi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ADA42-1789-4ED0-96A6-E2741982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3012</Words>
  <Characters>17777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Färber</dc:creator>
  <cp:keywords>, docId:27AB939EAA8D7510B43C3234CE6D2AB2</cp:keywords>
  <cp:lastModifiedBy>Jozef Markovič</cp:lastModifiedBy>
  <cp:revision>8</cp:revision>
  <cp:lastPrinted>2022-04-14T16:41:00Z</cp:lastPrinted>
  <dcterms:created xsi:type="dcterms:W3CDTF">2024-06-26T18:11:00Z</dcterms:created>
  <dcterms:modified xsi:type="dcterms:W3CDTF">2024-08-27T08:17:00Z</dcterms:modified>
</cp:coreProperties>
</file>